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576"/>
        <w:tblW w:w="9740" w:type="dxa"/>
        <w:tblLayout w:type="fixed"/>
        <w:tblLook w:val="0000" w:firstRow="0" w:lastRow="0" w:firstColumn="0" w:lastColumn="0" w:noHBand="0" w:noVBand="0"/>
      </w:tblPr>
      <w:tblGrid>
        <w:gridCol w:w="3748"/>
        <w:gridCol w:w="2257"/>
        <w:gridCol w:w="3735"/>
      </w:tblGrid>
      <w:tr w:rsidR="00227E09" w:rsidRPr="007D6321" w:rsidTr="00BE295F">
        <w:trPr>
          <w:trHeight w:val="1694"/>
        </w:trPr>
        <w:tc>
          <w:tcPr>
            <w:tcW w:w="374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27E09" w:rsidRPr="007B4D61" w:rsidRDefault="00227E09" w:rsidP="00BE295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  <w:p w:rsidR="00227E09" w:rsidRPr="007B4D61" w:rsidRDefault="00227E09" w:rsidP="00BE295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B4D61">
              <w:rPr>
                <w:b/>
                <w:sz w:val="24"/>
                <w:szCs w:val="24"/>
                <w:lang w:val="ro-RO"/>
              </w:rPr>
              <w:t>REPUBLICA MOLDOVA</w:t>
            </w:r>
          </w:p>
          <w:p w:rsidR="00227E09" w:rsidRPr="007B4D61" w:rsidRDefault="00227E09" w:rsidP="00BE295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B4D61">
              <w:rPr>
                <w:b/>
                <w:sz w:val="24"/>
                <w:szCs w:val="24"/>
                <w:lang w:val="ro-RO"/>
              </w:rPr>
              <w:t>RAIONUL ORHEI</w:t>
            </w:r>
          </w:p>
          <w:p w:rsidR="00227E09" w:rsidRPr="007B4D61" w:rsidRDefault="00227E09" w:rsidP="00BE295F">
            <w:pPr>
              <w:tabs>
                <w:tab w:val="right" w:pos="3509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7B4D61">
              <w:rPr>
                <w:b/>
                <w:sz w:val="24"/>
                <w:szCs w:val="24"/>
                <w:lang w:val="ro-RO"/>
              </w:rPr>
              <w:t>CONSILIUL COMUNAL  IVANCEA</w:t>
            </w:r>
          </w:p>
          <w:p w:rsidR="00227E09" w:rsidRPr="00F93369" w:rsidRDefault="00227E09" w:rsidP="00BE295F">
            <w:pPr>
              <w:jc w:val="center"/>
              <w:rPr>
                <w:b/>
                <w:sz w:val="24"/>
                <w:szCs w:val="24"/>
                <w:lang w:val="ro-MD"/>
              </w:rPr>
            </w:pPr>
            <w:r>
              <w:rPr>
                <w:b/>
                <w:sz w:val="24"/>
                <w:szCs w:val="24"/>
                <w:lang w:val="ro-MD"/>
              </w:rPr>
              <w:t>c/f 1007601001754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27E09" w:rsidRPr="007B4D61" w:rsidRDefault="00227E09" w:rsidP="00BE295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453361" wp14:editId="0ED0D254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27E09" w:rsidRPr="007B4D61" w:rsidRDefault="00227E09" w:rsidP="00BE295F">
            <w:pPr>
              <w:jc w:val="center"/>
              <w:rPr>
                <w:b/>
                <w:noProof/>
                <w:sz w:val="24"/>
                <w:szCs w:val="24"/>
                <w:lang w:val="ro-RO"/>
              </w:rPr>
            </w:pPr>
          </w:p>
          <w:p w:rsidR="00227E09" w:rsidRPr="007B4D61" w:rsidRDefault="00227E09" w:rsidP="00BE295F">
            <w:pPr>
              <w:jc w:val="center"/>
              <w:rPr>
                <w:b/>
                <w:noProof/>
                <w:sz w:val="24"/>
                <w:szCs w:val="24"/>
                <w:lang w:val="ro-RO"/>
              </w:rPr>
            </w:pPr>
            <w:r w:rsidRPr="007B4D61">
              <w:rPr>
                <w:b/>
                <w:noProof/>
                <w:sz w:val="24"/>
                <w:szCs w:val="24"/>
                <w:lang w:val="ro-RO"/>
              </w:rPr>
              <w:t>РЕСПУБЛИКА МОЛДОВA</w:t>
            </w:r>
          </w:p>
          <w:p w:rsidR="00227E09" w:rsidRPr="007B4D61" w:rsidRDefault="00227E09" w:rsidP="00BE295F">
            <w:pPr>
              <w:jc w:val="center"/>
              <w:rPr>
                <w:b/>
                <w:sz w:val="24"/>
                <w:szCs w:val="24"/>
              </w:rPr>
            </w:pPr>
            <w:r w:rsidRPr="007B4D61">
              <w:rPr>
                <w:b/>
                <w:sz w:val="24"/>
                <w:szCs w:val="24"/>
              </w:rPr>
              <w:t>ОРХЕЙСКИЙ РАЙОН</w:t>
            </w:r>
          </w:p>
          <w:p w:rsidR="00227E09" w:rsidRPr="007B4D61" w:rsidRDefault="00227E09" w:rsidP="00BE295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7B4D61">
              <w:rPr>
                <w:b/>
                <w:sz w:val="24"/>
                <w:szCs w:val="24"/>
              </w:rPr>
              <w:t>КОММУНАЛЬНЫЙ СОВЕТ ИВАНЧА</w:t>
            </w:r>
          </w:p>
          <w:p w:rsidR="00227E09" w:rsidRPr="007D6321" w:rsidRDefault="00227E09" w:rsidP="00BE295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t>Ф</w:t>
            </w:r>
            <w:r>
              <w:rPr>
                <w:b/>
                <w:noProof/>
                <w:sz w:val="24"/>
                <w:szCs w:val="24"/>
                <w:lang w:val="ro-MD"/>
              </w:rPr>
              <w:t>/</w:t>
            </w:r>
            <w:r>
              <w:rPr>
                <w:b/>
                <w:noProof/>
                <w:sz w:val="24"/>
                <w:szCs w:val="24"/>
              </w:rPr>
              <w:t>к 1007601001754</w:t>
            </w:r>
            <w:r w:rsidRPr="007B4D61">
              <w:rPr>
                <w:b/>
                <w:noProof/>
                <w:sz w:val="24"/>
                <w:szCs w:val="24"/>
                <w:lang w:val="ro-RO"/>
              </w:rPr>
              <w:t xml:space="preserve">  </w:t>
            </w:r>
          </w:p>
        </w:tc>
      </w:tr>
    </w:tbl>
    <w:p w:rsidR="003B0EBF" w:rsidRPr="003B0EBF" w:rsidRDefault="003B0EBF" w:rsidP="003B0EBF">
      <w:pPr>
        <w:tabs>
          <w:tab w:val="left" w:pos="6975"/>
        </w:tabs>
        <w:rPr>
          <w:sz w:val="24"/>
          <w:szCs w:val="24"/>
          <w:lang w:val="ro-RO"/>
        </w:rPr>
      </w:pPr>
    </w:p>
    <w:p w:rsidR="00A20829" w:rsidRDefault="00A20829">
      <w:pPr>
        <w:rPr>
          <w:lang w:val="en-US"/>
        </w:rPr>
      </w:pPr>
    </w:p>
    <w:p w:rsidR="00A20829" w:rsidRPr="00241824" w:rsidRDefault="00A20829" w:rsidP="00A20829">
      <w:pPr>
        <w:jc w:val="right"/>
        <w:rPr>
          <w:b/>
          <w:bCs/>
          <w:i/>
          <w:lang w:val="ro-RO"/>
        </w:rPr>
      </w:pPr>
      <w:r w:rsidRPr="00241824">
        <w:rPr>
          <w:b/>
          <w:bCs/>
          <w:i/>
          <w:lang w:val="ro-RO"/>
        </w:rPr>
        <w:t>proiect</w:t>
      </w:r>
    </w:p>
    <w:p w:rsidR="00A20829" w:rsidRDefault="00A20829" w:rsidP="00A20829">
      <w:pPr>
        <w:jc w:val="center"/>
        <w:rPr>
          <w:b/>
          <w:bCs/>
          <w:lang w:val="ro-RO"/>
        </w:rPr>
      </w:pPr>
    </w:p>
    <w:p w:rsidR="00A20829" w:rsidRPr="00CC4249" w:rsidRDefault="00A20829" w:rsidP="00A20829">
      <w:pPr>
        <w:jc w:val="center"/>
        <w:rPr>
          <w:b/>
          <w:sz w:val="24"/>
          <w:szCs w:val="24"/>
          <w:lang w:val="en-US"/>
        </w:rPr>
      </w:pPr>
      <w:proofErr w:type="gramStart"/>
      <w:r w:rsidRPr="00CC4249">
        <w:rPr>
          <w:b/>
          <w:sz w:val="24"/>
          <w:szCs w:val="24"/>
          <w:lang w:val="en-US"/>
        </w:rPr>
        <w:t xml:space="preserve">DECIZIE </w:t>
      </w:r>
      <w:r w:rsidRPr="004A5AFD">
        <w:rPr>
          <w:b/>
          <w:sz w:val="24"/>
          <w:szCs w:val="24"/>
          <w:lang w:val="ro-RO"/>
        </w:rPr>
        <w:t xml:space="preserve"> nr</w:t>
      </w:r>
      <w:proofErr w:type="gramEnd"/>
      <w:r w:rsidRPr="004A5AFD">
        <w:rPr>
          <w:b/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 xml:space="preserve"> ___</w:t>
      </w:r>
    </w:p>
    <w:p w:rsidR="00A20829" w:rsidRPr="004A5AFD" w:rsidRDefault="00A20829" w:rsidP="00A20829">
      <w:pPr>
        <w:jc w:val="center"/>
        <w:rPr>
          <w:b/>
          <w:sz w:val="24"/>
          <w:szCs w:val="24"/>
          <w:lang w:val="ro-RO"/>
        </w:rPr>
      </w:pPr>
      <w:r w:rsidRPr="004A5AFD">
        <w:rPr>
          <w:b/>
          <w:sz w:val="24"/>
          <w:szCs w:val="24"/>
          <w:lang w:val="ro-RO"/>
        </w:rPr>
        <w:t>din ___</w:t>
      </w:r>
      <w:r w:rsidRPr="00CC4249">
        <w:rPr>
          <w:b/>
          <w:sz w:val="24"/>
          <w:szCs w:val="24"/>
          <w:lang w:val="en-US"/>
        </w:rPr>
        <w:t>____________</w:t>
      </w:r>
      <w:r w:rsidRPr="004A5AFD">
        <w:rPr>
          <w:b/>
          <w:sz w:val="24"/>
          <w:szCs w:val="24"/>
          <w:lang w:val="ro-RO"/>
        </w:rPr>
        <w:t xml:space="preserve"> 20</w:t>
      </w:r>
      <w:r>
        <w:rPr>
          <w:b/>
          <w:sz w:val="24"/>
          <w:szCs w:val="24"/>
          <w:lang w:val="ro-RO"/>
        </w:rPr>
        <w:t>22</w:t>
      </w:r>
    </w:p>
    <w:p w:rsidR="00A20829" w:rsidRPr="004A5AFD" w:rsidRDefault="00A20829" w:rsidP="00A20829">
      <w:pPr>
        <w:rPr>
          <w:sz w:val="24"/>
          <w:szCs w:val="24"/>
          <w:lang w:val="ro-RO"/>
        </w:rPr>
      </w:pPr>
    </w:p>
    <w:p w:rsidR="00A20829" w:rsidRPr="004A5AFD" w:rsidRDefault="00A20829" w:rsidP="00A20829">
      <w:pPr>
        <w:pStyle w:val="Titlu"/>
        <w:jc w:val="left"/>
        <w:rPr>
          <w:b/>
          <w:sz w:val="24"/>
          <w:szCs w:val="24"/>
          <w:lang w:val="ro-MD"/>
        </w:rPr>
      </w:pPr>
    </w:p>
    <w:p w:rsidR="00A20829" w:rsidRPr="004A5AFD" w:rsidRDefault="00A20829" w:rsidP="00A20829">
      <w:pPr>
        <w:pStyle w:val="Titlu"/>
        <w:jc w:val="left"/>
        <w:rPr>
          <w:b/>
          <w:i/>
          <w:sz w:val="24"/>
          <w:szCs w:val="24"/>
        </w:rPr>
      </w:pPr>
      <w:r w:rsidRPr="004A5AFD">
        <w:rPr>
          <w:b/>
          <w:i/>
          <w:sz w:val="24"/>
          <w:szCs w:val="24"/>
          <w:lang w:val="ro-MD"/>
        </w:rPr>
        <w:t xml:space="preserve">Cu privire la aprobarea bugetului </w:t>
      </w:r>
      <w:r>
        <w:rPr>
          <w:b/>
          <w:i/>
          <w:sz w:val="24"/>
          <w:szCs w:val="24"/>
          <w:lang w:val="ro-MD"/>
        </w:rPr>
        <w:t>local Ivancea</w:t>
      </w:r>
      <w:r w:rsidRPr="004A5AFD">
        <w:rPr>
          <w:b/>
          <w:i/>
          <w:sz w:val="24"/>
          <w:szCs w:val="24"/>
          <w:lang w:val="ro-MD"/>
        </w:rPr>
        <w:t xml:space="preserve"> pentru anul 20</w:t>
      </w:r>
      <w:r>
        <w:rPr>
          <w:b/>
          <w:i/>
          <w:sz w:val="24"/>
          <w:szCs w:val="24"/>
          <w:lang w:val="ro-MD"/>
        </w:rPr>
        <w:t>23</w:t>
      </w:r>
      <w:r w:rsidRPr="004A5AFD">
        <w:rPr>
          <w:b/>
          <w:i/>
          <w:sz w:val="24"/>
          <w:szCs w:val="24"/>
          <w:lang w:val="ro-MD"/>
        </w:rPr>
        <w:t xml:space="preserve">  în prima lectura</w:t>
      </w:r>
    </w:p>
    <w:p w:rsidR="00A20829" w:rsidRPr="004A5AFD" w:rsidRDefault="00A20829" w:rsidP="00A20829">
      <w:pPr>
        <w:jc w:val="both"/>
        <w:rPr>
          <w:sz w:val="24"/>
          <w:szCs w:val="24"/>
          <w:lang w:val="ro-MD"/>
        </w:rPr>
      </w:pPr>
    </w:p>
    <w:p w:rsidR="00A20829" w:rsidRPr="004A5AFD" w:rsidRDefault="00A20829" w:rsidP="00A20829">
      <w:pPr>
        <w:jc w:val="both"/>
        <w:rPr>
          <w:b/>
          <w:sz w:val="24"/>
          <w:szCs w:val="24"/>
          <w:lang w:val="ro-MD"/>
        </w:rPr>
      </w:pPr>
      <w:r w:rsidRPr="004A5AFD">
        <w:rPr>
          <w:sz w:val="24"/>
          <w:szCs w:val="24"/>
          <w:lang w:val="ro-RO"/>
        </w:rPr>
        <w:tab/>
        <w:t>Examinînd bugetul comunei Ivancea în prima lectură, în temeiul art. 14, alin.2, lit.n) a Legii nr. 436</w:t>
      </w:r>
      <w:r w:rsidRPr="00CF3C03">
        <w:rPr>
          <w:sz w:val="24"/>
          <w:szCs w:val="24"/>
          <w:lang w:val="en-US"/>
        </w:rPr>
        <w:t>/</w:t>
      </w:r>
      <w:r w:rsidRPr="004A5AFD">
        <w:rPr>
          <w:sz w:val="24"/>
          <w:szCs w:val="24"/>
          <w:lang w:val="ro-RO"/>
        </w:rPr>
        <w:t xml:space="preserve">2006 privind administraţia publică locală, în conformitate cu prevederile </w:t>
      </w:r>
      <w:r>
        <w:rPr>
          <w:sz w:val="24"/>
          <w:szCs w:val="24"/>
          <w:lang w:val="ro-RO"/>
        </w:rPr>
        <w:t xml:space="preserve">art. 24, 47, alin.2, art. 55 al </w:t>
      </w:r>
      <w:r w:rsidRPr="004A5AFD">
        <w:rPr>
          <w:sz w:val="24"/>
          <w:szCs w:val="24"/>
          <w:lang w:val="ro-RO"/>
        </w:rPr>
        <w:t>Legii nr. 181</w:t>
      </w:r>
      <w:r w:rsidRPr="00CF3C03">
        <w:rPr>
          <w:sz w:val="24"/>
          <w:szCs w:val="24"/>
          <w:lang w:val="en-US"/>
        </w:rPr>
        <w:t>/</w:t>
      </w:r>
      <w:r w:rsidRPr="004A5AFD">
        <w:rPr>
          <w:sz w:val="24"/>
          <w:szCs w:val="24"/>
          <w:lang w:val="ro-RO"/>
        </w:rPr>
        <w:t xml:space="preserve">2014 finanţelor publice şi responsabilităţii bugetar-fiscale, </w:t>
      </w:r>
      <w:r>
        <w:rPr>
          <w:sz w:val="24"/>
          <w:szCs w:val="24"/>
          <w:lang w:val="ro-RO"/>
        </w:rPr>
        <w:t xml:space="preserve">art. 20, 21, alin 4, lit. a)  </w:t>
      </w:r>
      <w:r w:rsidRPr="004A5AFD">
        <w:rPr>
          <w:sz w:val="24"/>
          <w:szCs w:val="24"/>
          <w:lang w:val="ro-RO"/>
        </w:rPr>
        <w:t>Legii nr. 397</w:t>
      </w:r>
      <w:r w:rsidRPr="00CF3C03">
        <w:rPr>
          <w:sz w:val="24"/>
          <w:szCs w:val="24"/>
          <w:lang w:val="en-US"/>
        </w:rPr>
        <w:t>/</w:t>
      </w:r>
      <w:r w:rsidRPr="004A5AFD">
        <w:rPr>
          <w:sz w:val="24"/>
          <w:szCs w:val="24"/>
          <w:lang w:val="ro-RO"/>
        </w:rPr>
        <w:t xml:space="preserve">2003 privind finanţele publice locale, </w:t>
      </w:r>
      <w:r>
        <w:rPr>
          <w:sz w:val="24"/>
          <w:szCs w:val="24"/>
          <w:lang w:val="ro-RO"/>
        </w:rPr>
        <w:t>setul metodologic privind elaborarea și modificarea bugetului, aprobat prin ordin Ministerului Finanțelor nr.</w:t>
      </w:r>
      <w:r w:rsidRPr="00881AF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 xml:space="preserve">209 din 24.12.2015, </w:t>
      </w:r>
      <w:r w:rsidRPr="004A5AFD">
        <w:rPr>
          <w:sz w:val="24"/>
          <w:szCs w:val="24"/>
          <w:lang w:val="ro-RO"/>
        </w:rPr>
        <w:t xml:space="preserve">avizul comisiei consultative de specialitate în probleme economice, bugeți și finanțe, </w:t>
      </w:r>
      <w:r w:rsidRPr="004A5AFD">
        <w:rPr>
          <w:sz w:val="24"/>
          <w:szCs w:val="24"/>
          <w:lang w:val="ro-MD"/>
        </w:rPr>
        <w:t>Consiliul comunal Ivancea</w:t>
      </w:r>
    </w:p>
    <w:p w:rsidR="00A20829" w:rsidRDefault="00A20829" w:rsidP="00A20829">
      <w:pPr>
        <w:jc w:val="center"/>
        <w:rPr>
          <w:b/>
          <w:sz w:val="24"/>
          <w:szCs w:val="24"/>
          <w:lang w:val="ro-MD"/>
        </w:rPr>
      </w:pPr>
      <w:r w:rsidRPr="004A5AFD">
        <w:rPr>
          <w:b/>
          <w:sz w:val="24"/>
          <w:szCs w:val="24"/>
          <w:lang w:val="ro-MD"/>
        </w:rPr>
        <w:t>DECIDE:</w:t>
      </w:r>
    </w:p>
    <w:p w:rsidR="00A20829" w:rsidRDefault="00A20829" w:rsidP="00A20829">
      <w:pPr>
        <w:numPr>
          <w:ilvl w:val="0"/>
          <w:numId w:val="2"/>
        </w:numPr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S</w:t>
      </w:r>
      <w:r w:rsidRPr="005A6A03">
        <w:rPr>
          <w:sz w:val="24"/>
          <w:szCs w:val="24"/>
          <w:lang w:val="ro-MD"/>
        </w:rPr>
        <w:t xml:space="preserve">e </w:t>
      </w:r>
      <w:r>
        <w:rPr>
          <w:sz w:val="24"/>
          <w:szCs w:val="24"/>
          <w:lang w:val="ro-MD"/>
        </w:rPr>
        <w:t>ia act de</w:t>
      </w:r>
      <w:r w:rsidRPr="005A6A03">
        <w:rPr>
          <w:sz w:val="24"/>
          <w:szCs w:val="24"/>
          <w:lang w:val="ro-MD"/>
        </w:rPr>
        <w:t xml:space="preserve"> raportul autorităţii executive </w:t>
      </w:r>
      <w:r>
        <w:rPr>
          <w:sz w:val="24"/>
          <w:szCs w:val="24"/>
          <w:lang w:val="en-US"/>
        </w:rPr>
        <w:t xml:space="preserve">a </w:t>
      </w:r>
      <w:proofErr w:type="spellStart"/>
      <w:r w:rsidRPr="00CF3C03">
        <w:rPr>
          <w:sz w:val="24"/>
          <w:szCs w:val="24"/>
          <w:lang w:val="en-US"/>
        </w:rPr>
        <w:t>c</w:t>
      </w:r>
      <w:r w:rsidRPr="00881AF1">
        <w:rPr>
          <w:sz w:val="24"/>
          <w:szCs w:val="24"/>
          <w:lang w:val="en-US"/>
        </w:rPr>
        <w:t>onsiliului</w:t>
      </w:r>
      <w:proofErr w:type="spellEnd"/>
      <w:r w:rsidRPr="00881AF1">
        <w:rPr>
          <w:sz w:val="24"/>
          <w:szCs w:val="24"/>
          <w:lang w:val="en-US"/>
        </w:rPr>
        <w:t xml:space="preserve"> local </w:t>
      </w:r>
      <w:proofErr w:type="spellStart"/>
      <w:r w:rsidRPr="00881AF1">
        <w:rPr>
          <w:sz w:val="24"/>
          <w:szCs w:val="24"/>
          <w:lang w:val="en-US"/>
        </w:rPr>
        <w:t>Ivancea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r w:rsidRPr="005A6A03">
        <w:rPr>
          <w:sz w:val="24"/>
          <w:szCs w:val="24"/>
          <w:lang w:val="ro-MD"/>
        </w:rPr>
        <w:t>privind proiectul bugetului loca</w:t>
      </w:r>
      <w:r>
        <w:rPr>
          <w:sz w:val="24"/>
          <w:szCs w:val="24"/>
          <w:lang w:val="ro-MD"/>
        </w:rPr>
        <w:t>l</w:t>
      </w:r>
      <w:r>
        <w:rPr>
          <w:sz w:val="24"/>
          <w:szCs w:val="24"/>
          <w:lang w:val="ro-RO"/>
        </w:rPr>
        <w:t xml:space="preserve"> Ivancea pe anul 2023</w:t>
      </w:r>
      <w:r>
        <w:rPr>
          <w:sz w:val="24"/>
          <w:szCs w:val="24"/>
          <w:lang w:val="ro-MD"/>
        </w:rPr>
        <w:t>.</w:t>
      </w:r>
    </w:p>
    <w:p w:rsidR="00A20829" w:rsidRPr="00881AF1" w:rsidRDefault="00A20829" w:rsidP="00A20829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MD"/>
        </w:rPr>
        <w:t>S</w:t>
      </w:r>
      <w:r w:rsidRPr="005A6A03">
        <w:rPr>
          <w:sz w:val="24"/>
          <w:szCs w:val="24"/>
          <w:lang w:val="ro-MD"/>
        </w:rPr>
        <w:t>e aprobă indicatorii generali ai bugetului: veniturile şi cheltuielile, soldul bugetar şi sursele de finanţare, precum şi plafonul datoriei unităţii administrativ-teritoriale şi plafonul garanţiilor acordate de autorităţile administraţiei publice locale</w:t>
      </w:r>
      <w:r w:rsidRPr="005A6A03">
        <w:rPr>
          <w:sz w:val="24"/>
          <w:szCs w:val="24"/>
          <w:lang w:val="ro-RO"/>
        </w:rPr>
        <w:t xml:space="preserve"> </w:t>
      </w:r>
      <w:r w:rsidRPr="00881AF1">
        <w:rPr>
          <w:sz w:val="24"/>
          <w:szCs w:val="24"/>
          <w:lang w:val="ro-RO"/>
        </w:rPr>
        <w:t>conform anexei.</w:t>
      </w:r>
    </w:p>
    <w:p w:rsidR="00A20829" w:rsidRPr="00881AF1" w:rsidRDefault="00A20829" w:rsidP="00A20829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 w:rsidRPr="00881AF1">
        <w:rPr>
          <w:sz w:val="24"/>
          <w:szCs w:val="24"/>
          <w:lang w:val="en-US"/>
        </w:rPr>
        <w:t>Au</w:t>
      </w:r>
      <w:r>
        <w:rPr>
          <w:sz w:val="24"/>
          <w:szCs w:val="24"/>
          <w:lang w:val="en-US"/>
        </w:rPr>
        <w:t>toritatea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executivă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 w:rsidRPr="00CF3C03">
        <w:rPr>
          <w:sz w:val="24"/>
          <w:szCs w:val="24"/>
          <w:lang w:val="en-US"/>
        </w:rPr>
        <w:t>c</w:t>
      </w:r>
      <w:r w:rsidRPr="00881AF1">
        <w:rPr>
          <w:sz w:val="24"/>
          <w:szCs w:val="24"/>
          <w:lang w:val="en-US"/>
        </w:rPr>
        <w:t>onsiliului</w:t>
      </w:r>
      <w:proofErr w:type="spellEnd"/>
      <w:r w:rsidRPr="00881AF1">
        <w:rPr>
          <w:sz w:val="24"/>
          <w:szCs w:val="24"/>
          <w:lang w:val="en-US"/>
        </w:rPr>
        <w:t xml:space="preserve"> local </w:t>
      </w:r>
      <w:proofErr w:type="spellStart"/>
      <w:r w:rsidRPr="00881AF1">
        <w:rPr>
          <w:sz w:val="24"/>
          <w:szCs w:val="24"/>
          <w:lang w:val="en-US"/>
        </w:rPr>
        <w:t>Ivancea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va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prezenta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proximi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CF3C03">
        <w:rPr>
          <w:sz w:val="24"/>
          <w:szCs w:val="24"/>
          <w:lang w:val="en-US"/>
        </w:rPr>
        <w:t>b</w:t>
      </w:r>
      <w:r w:rsidRPr="00881AF1">
        <w:rPr>
          <w:sz w:val="24"/>
          <w:szCs w:val="24"/>
          <w:lang w:val="en-US"/>
        </w:rPr>
        <w:t>ugetul</w:t>
      </w:r>
      <w:proofErr w:type="spellEnd"/>
      <w:r w:rsidRPr="00881AF1">
        <w:rPr>
          <w:sz w:val="24"/>
          <w:szCs w:val="24"/>
          <w:lang w:val="en-US"/>
        </w:rPr>
        <w:t xml:space="preserve"> local </w:t>
      </w:r>
      <w:proofErr w:type="spellStart"/>
      <w:r w:rsidRPr="00881AF1">
        <w:rPr>
          <w:sz w:val="24"/>
          <w:szCs w:val="24"/>
          <w:lang w:val="en-US"/>
        </w:rPr>
        <w:t>Ivancea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în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lectura</w:t>
      </w:r>
      <w:proofErr w:type="spellEnd"/>
      <w:r w:rsidRPr="00881AF1">
        <w:rPr>
          <w:sz w:val="24"/>
          <w:szCs w:val="24"/>
          <w:lang w:val="en-US"/>
        </w:rPr>
        <w:t xml:space="preserve"> a </w:t>
      </w:r>
      <w:proofErr w:type="spellStart"/>
      <w:r w:rsidRPr="00881AF1">
        <w:rPr>
          <w:sz w:val="24"/>
          <w:szCs w:val="24"/>
          <w:lang w:val="en-US"/>
        </w:rPr>
        <w:t>doua</w:t>
      </w:r>
      <w:proofErr w:type="spellEnd"/>
      <w:r w:rsidRPr="00881AF1">
        <w:rPr>
          <w:sz w:val="24"/>
          <w:szCs w:val="24"/>
          <w:lang w:val="en-US"/>
        </w:rPr>
        <w:t xml:space="preserve"> conform </w:t>
      </w:r>
      <w:proofErr w:type="spellStart"/>
      <w:r w:rsidRPr="00881AF1">
        <w:rPr>
          <w:sz w:val="24"/>
          <w:szCs w:val="24"/>
          <w:lang w:val="en-US"/>
        </w:rPr>
        <w:t>prevederilor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legislaţiei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în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vigoare</w:t>
      </w:r>
      <w:proofErr w:type="spellEnd"/>
      <w:r w:rsidRPr="00881AF1">
        <w:rPr>
          <w:sz w:val="24"/>
          <w:szCs w:val="24"/>
          <w:lang w:val="en-US"/>
        </w:rPr>
        <w:t>.</w:t>
      </w:r>
    </w:p>
    <w:p w:rsidR="00A20829" w:rsidRPr="00881AF1" w:rsidRDefault="00A20829" w:rsidP="00A20829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 w:rsidRPr="00881AF1">
        <w:rPr>
          <w:sz w:val="24"/>
          <w:szCs w:val="24"/>
          <w:lang w:val="en-US"/>
        </w:rPr>
        <w:t>Prezenta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decizie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intră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în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vigoare</w:t>
      </w:r>
      <w:proofErr w:type="spellEnd"/>
      <w:r w:rsidRPr="00881AF1">
        <w:rPr>
          <w:sz w:val="24"/>
          <w:szCs w:val="24"/>
          <w:lang w:val="en-US"/>
        </w:rPr>
        <w:t xml:space="preserve"> la data </w:t>
      </w:r>
      <w:proofErr w:type="spellStart"/>
      <w:r w:rsidRPr="00881AF1">
        <w:rPr>
          <w:sz w:val="24"/>
          <w:szCs w:val="24"/>
          <w:lang w:val="en-US"/>
        </w:rPr>
        <w:t>includerii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acesteia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în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Registrul</w:t>
      </w:r>
      <w:proofErr w:type="spellEnd"/>
      <w:r w:rsidRPr="00881AF1">
        <w:rPr>
          <w:sz w:val="24"/>
          <w:szCs w:val="24"/>
          <w:lang w:val="en-US"/>
        </w:rPr>
        <w:t xml:space="preserve"> de stat al </w:t>
      </w:r>
      <w:proofErr w:type="spellStart"/>
      <w:r w:rsidRPr="00881AF1">
        <w:rPr>
          <w:sz w:val="24"/>
          <w:szCs w:val="24"/>
          <w:lang w:val="en-US"/>
        </w:rPr>
        <w:t>actelor</w:t>
      </w:r>
      <w:proofErr w:type="spellEnd"/>
      <w:r w:rsidRPr="00881AF1">
        <w:rPr>
          <w:sz w:val="24"/>
          <w:szCs w:val="24"/>
          <w:lang w:val="en-US"/>
        </w:rPr>
        <w:t xml:space="preserve"> locale </w:t>
      </w:r>
      <w:proofErr w:type="spellStart"/>
      <w:r w:rsidRPr="00881AF1">
        <w:rPr>
          <w:sz w:val="24"/>
          <w:szCs w:val="24"/>
          <w:lang w:val="en-US"/>
        </w:rPr>
        <w:t>și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poate</w:t>
      </w:r>
      <w:proofErr w:type="spellEnd"/>
      <w:r w:rsidRPr="00881AF1">
        <w:rPr>
          <w:sz w:val="24"/>
          <w:szCs w:val="24"/>
          <w:lang w:val="en-US"/>
        </w:rPr>
        <w:t xml:space="preserve"> fi </w:t>
      </w:r>
      <w:proofErr w:type="spellStart"/>
      <w:r w:rsidRPr="00881AF1">
        <w:rPr>
          <w:sz w:val="24"/>
          <w:szCs w:val="24"/>
          <w:lang w:val="en-US"/>
        </w:rPr>
        <w:t>atăcată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în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Judecătoria</w:t>
      </w:r>
      <w:proofErr w:type="spellEnd"/>
      <w:r w:rsidRPr="00881AF1">
        <w:rPr>
          <w:sz w:val="24"/>
          <w:szCs w:val="24"/>
          <w:lang w:val="en-US"/>
        </w:rPr>
        <w:t xml:space="preserve"> Orhei </w:t>
      </w:r>
      <w:proofErr w:type="spellStart"/>
      <w:r w:rsidRPr="00881AF1">
        <w:rPr>
          <w:sz w:val="24"/>
          <w:szCs w:val="24"/>
          <w:lang w:val="en-US"/>
        </w:rPr>
        <w:t>în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termen</w:t>
      </w:r>
      <w:proofErr w:type="spellEnd"/>
      <w:r w:rsidRPr="00881AF1">
        <w:rPr>
          <w:sz w:val="24"/>
          <w:szCs w:val="24"/>
          <w:lang w:val="en-US"/>
        </w:rPr>
        <w:t xml:space="preserve"> de 30 </w:t>
      </w:r>
      <w:proofErr w:type="spellStart"/>
      <w:r w:rsidRPr="00881AF1">
        <w:rPr>
          <w:sz w:val="24"/>
          <w:szCs w:val="24"/>
          <w:lang w:val="en-US"/>
        </w:rPr>
        <w:t>zile</w:t>
      </w:r>
      <w:proofErr w:type="spellEnd"/>
      <w:r w:rsidRPr="00881AF1">
        <w:rPr>
          <w:sz w:val="24"/>
          <w:szCs w:val="24"/>
          <w:lang w:val="en-US"/>
        </w:rPr>
        <w:t xml:space="preserve"> de la data </w:t>
      </w:r>
      <w:proofErr w:type="spellStart"/>
      <w:r w:rsidRPr="00881AF1">
        <w:rPr>
          <w:sz w:val="24"/>
          <w:szCs w:val="24"/>
          <w:lang w:val="en-US"/>
        </w:rPr>
        <w:t>comunicării</w:t>
      </w:r>
      <w:proofErr w:type="spellEnd"/>
      <w:r w:rsidRPr="00881AF1">
        <w:rPr>
          <w:sz w:val="24"/>
          <w:szCs w:val="24"/>
          <w:lang w:val="en-US"/>
        </w:rPr>
        <w:t>.</w:t>
      </w:r>
    </w:p>
    <w:p w:rsidR="00A20829" w:rsidRPr="00881AF1" w:rsidRDefault="00A20829" w:rsidP="00A20829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  <w:lang w:val="ro-RO" w:eastAsia="ru-RU"/>
        </w:rPr>
      </w:pPr>
      <w:proofErr w:type="spellStart"/>
      <w:r w:rsidRPr="00881AF1">
        <w:rPr>
          <w:sz w:val="24"/>
          <w:szCs w:val="24"/>
          <w:lang w:val="en-US"/>
        </w:rPr>
        <w:t>Controlul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asupra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executării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prezentei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decizii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revine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primarului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comunei</w:t>
      </w:r>
      <w:proofErr w:type="spellEnd"/>
      <w:r w:rsidRPr="00881AF1">
        <w:rPr>
          <w:sz w:val="24"/>
          <w:szCs w:val="24"/>
          <w:lang w:val="en-US"/>
        </w:rPr>
        <w:t xml:space="preserve"> </w:t>
      </w:r>
      <w:proofErr w:type="spellStart"/>
      <w:r w:rsidRPr="00881AF1">
        <w:rPr>
          <w:sz w:val="24"/>
          <w:szCs w:val="24"/>
          <w:lang w:val="en-US"/>
        </w:rPr>
        <w:t>Ivancea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r w:rsidRPr="004A5AFD">
        <w:rPr>
          <w:sz w:val="24"/>
          <w:szCs w:val="24"/>
          <w:lang w:val="ro-RO"/>
        </w:rPr>
        <w:t>comisiei consultative de specialitate în probleme economice, bugeți și finanțe</w:t>
      </w:r>
      <w:r w:rsidRPr="00881AF1">
        <w:rPr>
          <w:sz w:val="24"/>
          <w:szCs w:val="24"/>
          <w:lang w:val="en-US"/>
        </w:rPr>
        <w:t>.</w:t>
      </w:r>
    </w:p>
    <w:p w:rsidR="00A20829" w:rsidRPr="00060DDA" w:rsidRDefault="00A20829" w:rsidP="00A20829">
      <w:pPr>
        <w:tabs>
          <w:tab w:val="left" w:pos="6975"/>
        </w:tabs>
        <w:rPr>
          <w:rFonts w:ascii="Tahoma" w:hAnsi="Tahoma" w:cs="Tahoma"/>
          <w:sz w:val="18"/>
          <w:szCs w:val="18"/>
          <w:lang w:val="ro-MD" w:eastAsia="ru-RU"/>
        </w:rPr>
      </w:pPr>
    </w:p>
    <w:p w:rsidR="00A20829" w:rsidRPr="0030660C" w:rsidRDefault="00A20829" w:rsidP="00A20829">
      <w:pPr>
        <w:tabs>
          <w:tab w:val="left" w:pos="6975"/>
        </w:tabs>
        <w:rPr>
          <w:sz w:val="24"/>
          <w:szCs w:val="24"/>
          <w:lang w:val="ro-RO"/>
        </w:rPr>
      </w:pPr>
      <w:r w:rsidRPr="0030660C">
        <w:rPr>
          <w:sz w:val="24"/>
          <w:szCs w:val="24"/>
          <w:lang w:val="ro-RO"/>
        </w:rPr>
        <w:t xml:space="preserve">                                             </w:t>
      </w:r>
    </w:p>
    <w:p w:rsidR="00A20829" w:rsidRPr="0030660C" w:rsidRDefault="00A20829" w:rsidP="00A20829">
      <w:pPr>
        <w:tabs>
          <w:tab w:val="left" w:pos="6975"/>
        </w:tabs>
        <w:rPr>
          <w:sz w:val="24"/>
          <w:szCs w:val="24"/>
          <w:lang w:val="ro-RO"/>
        </w:rPr>
      </w:pPr>
      <w:r w:rsidRPr="0030660C">
        <w:rPr>
          <w:sz w:val="24"/>
          <w:szCs w:val="24"/>
          <w:lang w:val="ro-RO"/>
        </w:rPr>
        <w:t xml:space="preserve"> </w:t>
      </w:r>
    </w:p>
    <w:p w:rsidR="00A20829" w:rsidRDefault="00A20829" w:rsidP="00A20829">
      <w:pPr>
        <w:suppressAutoHyphens w:val="0"/>
        <w:ind w:firstLine="567"/>
        <w:jc w:val="center"/>
        <w:rPr>
          <w:sz w:val="24"/>
          <w:szCs w:val="24"/>
          <w:lang w:val="en-US"/>
        </w:rPr>
      </w:pPr>
    </w:p>
    <w:p w:rsidR="00A20829" w:rsidRDefault="00A20829" w:rsidP="00A20829">
      <w:pPr>
        <w:suppressAutoHyphens w:val="0"/>
        <w:ind w:firstLine="567"/>
        <w:jc w:val="center"/>
        <w:rPr>
          <w:sz w:val="24"/>
          <w:szCs w:val="24"/>
          <w:lang w:val="en-US"/>
        </w:rPr>
      </w:pPr>
    </w:p>
    <w:p w:rsidR="00A20829" w:rsidRDefault="00A20829" w:rsidP="00A20829">
      <w:pPr>
        <w:suppressAutoHyphens w:val="0"/>
        <w:ind w:firstLine="567"/>
        <w:jc w:val="center"/>
        <w:rPr>
          <w:sz w:val="24"/>
          <w:szCs w:val="24"/>
          <w:lang w:val="en-US"/>
        </w:rPr>
      </w:pPr>
    </w:p>
    <w:p w:rsidR="00A20829" w:rsidRDefault="00A20829" w:rsidP="00A20829">
      <w:pPr>
        <w:suppressAutoHyphens w:val="0"/>
        <w:ind w:firstLine="567"/>
        <w:jc w:val="center"/>
        <w:rPr>
          <w:sz w:val="24"/>
          <w:szCs w:val="24"/>
          <w:lang w:val="en-US"/>
        </w:rPr>
      </w:pPr>
    </w:p>
    <w:p w:rsidR="00A20829" w:rsidRDefault="00A20829" w:rsidP="00A20829">
      <w:pPr>
        <w:suppressAutoHyphens w:val="0"/>
        <w:ind w:firstLine="567"/>
        <w:jc w:val="center"/>
        <w:rPr>
          <w:sz w:val="24"/>
          <w:szCs w:val="24"/>
          <w:lang w:val="en-US"/>
        </w:rPr>
      </w:pPr>
    </w:p>
    <w:p w:rsidR="00A20829" w:rsidRDefault="00A20829" w:rsidP="00A20829">
      <w:pPr>
        <w:suppressAutoHyphens w:val="0"/>
        <w:ind w:firstLine="567"/>
        <w:jc w:val="center"/>
        <w:rPr>
          <w:sz w:val="24"/>
          <w:szCs w:val="24"/>
          <w:lang w:val="en-US"/>
        </w:rPr>
      </w:pPr>
    </w:p>
    <w:p w:rsidR="00A20829" w:rsidRDefault="00A20829" w:rsidP="00A20829">
      <w:pPr>
        <w:suppressAutoHyphens w:val="0"/>
        <w:ind w:firstLine="567"/>
        <w:jc w:val="center"/>
        <w:rPr>
          <w:sz w:val="24"/>
          <w:szCs w:val="24"/>
          <w:lang w:val="en-US"/>
        </w:rPr>
      </w:pPr>
    </w:p>
    <w:p w:rsidR="00A20829" w:rsidRDefault="00A20829" w:rsidP="00A20829">
      <w:pPr>
        <w:suppressAutoHyphens w:val="0"/>
        <w:ind w:firstLine="567"/>
        <w:jc w:val="center"/>
        <w:rPr>
          <w:sz w:val="24"/>
          <w:szCs w:val="24"/>
          <w:lang w:val="en-US"/>
        </w:rPr>
      </w:pPr>
    </w:p>
    <w:p w:rsidR="00A20829" w:rsidRDefault="00A20829" w:rsidP="00A20829">
      <w:pPr>
        <w:suppressAutoHyphens w:val="0"/>
        <w:ind w:firstLine="567"/>
        <w:jc w:val="center"/>
        <w:rPr>
          <w:sz w:val="24"/>
          <w:szCs w:val="24"/>
          <w:lang w:val="en-US" w:eastAsia="ru-RU"/>
        </w:rPr>
      </w:pPr>
    </w:p>
    <w:p w:rsidR="00A20829" w:rsidRDefault="00A20829" w:rsidP="00A20829">
      <w:pPr>
        <w:suppressAutoHyphens w:val="0"/>
        <w:ind w:firstLine="567"/>
        <w:jc w:val="center"/>
        <w:rPr>
          <w:sz w:val="24"/>
          <w:szCs w:val="24"/>
          <w:lang w:val="en-US" w:eastAsia="ru-RU"/>
        </w:rPr>
      </w:pPr>
    </w:p>
    <w:tbl>
      <w:tblPr>
        <w:tblW w:w="9149" w:type="dxa"/>
        <w:tblInd w:w="1242" w:type="dxa"/>
        <w:tblLook w:val="04A0" w:firstRow="1" w:lastRow="0" w:firstColumn="1" w:lastColumn="0" w:noHBand="0" w:noVBand="1"/>
      </w:tblPr>
      <w:tblGrid>
        <w:gridCol w:w="3811"/>
        <w:gridCol w:w="797"/>
        <w:gridCol w:w="212"/>
        <w:gridCol w:w="1048"/>
        <w:gridCol w:w="1260"/>
        <w:gridCol w:w="385"/>
        <w:gridCol w:w="236"/>
        <w:gridCol w:w="779"/>
        <w:gridCol w:w="621"/>
      </w:tblGrid>
      <w:tr w:rsidR="00A20829" w:rsidRPr="00965CC8" w:rsidTr="00BE295F">
        <w:trPr>
          <w:gridAfter w:val="1"/>
          <w:wAfter w:w="621" w:type="dxa"/>
          <w:trHeight w:val="300"/>
        </w:trPr>
        <w:tc>
          <w:tcPr>
            <w:tcW w:w="5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Default="00A20829" w:rsidP="00BE295F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</w:p>
          <w:p w:rsidR="00A20829" w:rsidRDefault="00A20829" w:rsidP="00BE295F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</w:p>
          <w:p w:rsidR="00A20829" w:rsidRDefault="00A20829" w:rsidP="00BE295F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</w:p>
          <w:p w:rsidR="00A20829" w:rsidRDefault="00A20829" w:rsidP="00BE295F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</w:p>
          <w:p w:rsidR="00A20829" w:rsidRDefault="00A20829" w:rsidP="00BE295F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</w:p>
          <w:p w:rsidR="00A20829" w:rsidRDefault="00A20829" w:rsidP="00BE295F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</w:p>
          <w:p w:rsidR="00A20829" w:rsidRDefault="00A20829" w:rsidP="00BE295F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</w:p>
          <w:p w:rsidR="00A20829" w:rsidRPr="00A20829" w:rsidRDefault="00A20829" w:rsidP="00BE295F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A20829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A20829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A20829" w:rsidRPr="002433FA" w:rsidTr="00BE295F">
        <w:trPr>
          <w:gridAfter w:val="1"/>
          <w:wAfter w:w="621" w:type="dxa"/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A20829" w:rsidRDefault="00A20829" w:rsidP="00BE295F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A20829" w:rsidRDefault="00A20829" w:rsidP="00BE295F">
            <w:pPr>
              <w:suppressAutoHyphens w:val="0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3FA">
              <w:rPr>
                <w:color w:val="000000"/>
                <w:sz w:val="20"/>
                <w:szCs w:val="20"/>
                <w:lang w:eastAsia="ru-RU"/>
              </w:rPr>
              <w:t>Anexa</w:t>
            </w:r>
            <w:proofErr w:type="spellEnd"/>
            <w:r w:rsidRPr="002433FA">
              <w:rPr>
                <w:color w:val="000000"/>
                <w:sz w:val="20"/>
                <w:szCs w:val="20"/>
                <w:lang w:eastAsia="ru-RU"/>
              </w:rPr>
              <w:t xml:space="preserve"> nr.1 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20829" w:rsidRPr="002433FA" w:rsidTr="00BE295F">
        <w:trPr>
          <w:gridAfter w:val="1"/>
          <w:wAfter w:w="621" w:type="dxa"/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3FA">
              <w:rPr>
                <w:color w:val="000000"/>
                <w:sz w:val="20"/>
                <w:szCs w:val="20"/>
                <w:lang w:eastAsia="ru-RU"/>
              </w:rPr>
              <w:t>la</w:t>
            </w:r>
            <w:proofErr w:type="spellEnd"/>
            <w:r w:rsidRPr="002433F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0"/>
                <w:szCs w:val="20"/>
                <w:lang w:eastAsia="ru-RU"/>
              </w:rPr>
              <w:t>Decizia</w:t>
            </w:r>
            <w:proofErr w:type="spellEnd"/>
            <w:r w:rsidRPr="002433F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0"/>
                <w:szCs w:val="20"/>
                <w:lang w:eastAsia="ru-RU"/>
              </w:rPr>
              <w:t>consiliul</w:t>
            </w:r>
            <w:proofErr w:type="spellEnd"/>
            <w:r w:rsidRPr="002433F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0"/>
                <w:szCs w:val="20"/>
                <w:lang w:eastAsia="ru-RU"/>
              </w:rPr>
              <w:t>local</w:t>
            </w:r>
            <w:proofErr w:type="spellEnd"/>
            <w:r w:rsidRPr="002433F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20829" w:rsidRPr="002433FA" w:rsidTr="00BE295F">
        <w:trPr>
          <w:gridAfter w:val="1"/>
          <w:wAfter w:w="621" w:type="dxa"/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3FA">
              <w:rPr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2433FA">
              <w:rPr>
                <w:color w:val="000000"/>
                <w:sz w:val="20"/>
                <w:szCs w:val="20"/>
                <w:lang w:eastAsia="ru-RU"/>
              </w:rPr>
              <w:t xml:space="preserve">_____ </w:t>
            </w:r>
            <w:proofErr w:type="spellStart"/>
            <w:r w:rsidRPr="002433FA">
              <w:rPr>
                <w:color w:val="000000"/>
                <w:sz w:val="20"/>
                <w:szCs w:val="20"/>
                <w:lang w:eastAsia="ru-RU"/>
              </w:rPr>
              <w:t>din</w:t>
            </w:r>
            <w:proofErr w:type="spellEnd"/>
            <w:r w:rsidRPr="002433F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20829" w:rsidRPr="002433FA" w:rsidTr="00BE295F">
        <w:trPr>
          <w:gridAfter w:val="1"/>
          <w:wAfter w:w="621" w:type="dxa"/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20829" w:rsidRPr="00965CC8" w:rsidTr="00BE295F">
        <w:trPr>
          <w:gridAfter w:val="1"/>
          <w:wAfter w:w="621" w:type="dxa"/>
          <w:trHeight w:val="330"/>
        </w:trPr>
        <w:tc>
          <w:tcPr>
            <w:tcW w:w="85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</w:pPr>
            <w:proofErr w:type="spellStart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>Indicatorii</w:t>
            </w:r>
            <w:proofErr w:type="spellEnd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>generali</w:t>
            </w:r>
            <w:proofErr w:type="spellEnd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>şi</w:t>
            </w:r>
            <w:proofErr w:type="spellEnd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>sursele</w:t>
            </w:r>
            <w:proofErr w:type="spellEnd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de </w:t>
            </w:r>
            <w:proofErr w:type="spellStart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>finanţare</w:t>
            </w:r>
            <w:proofErr w:type="spellEnd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ale </w:t>
            </w:r>
            <w:proofErr w:type="spellStart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>bugetului</w:t>
            </w:r>
            <w:proofErr w:type="spellEnd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>primăriei</w:t>
            </w:r>
            <w:proofErr w:type="spellEnd"/>
            <w:r w:rsidRPr="002433FA">
              <w:rPr>
                <w:b/>
                <w:bCs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A20829" w:rsidRPr="002433FA" w:rsidTr="00BE295F">
        <w:trPr>
          <w:gridAfter w:val="1"/>
          <w:wAfter w:w="621" w:type="dxa"/>
          <w:trHeight w:val="330"/>
        </w:trPr>
        <w:tc>
          <w:tcPr>
            <w:tcW w:w="85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val="ro-MD" w:eastAsia="ru-RU"/>
              </w:rPr>
            </w:pPr>
            <w:proofErr w:type="spellStart"/>
            <w:r w:rsidRPr="002433FA">
              <w:rPr>
                <w:b/>
                <w:bCs/>
                <w:color w:val="000000"/>
                <w:sz w:val="26"/>
                <w:szCs w:val="26"/>
                <w:lang w:eastAsia="ru-RU"/>
              </w:rPr>
              <w:t>pentru</w:t>
            </w:r>
            <w:proofErr w:type="spellEnd"/>
            <w:r w:rsidRPr="002433FA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33FA">
              <w:rPr>
                <w:b/>
                <w:bCs/>
                <w:color w:val="000000"/>
                <w:sz w:val="26"/>
                <w:szCs w:val="26"/>
                <w:lang w:eastAsia="ru-RU"/>
              </w:rPr>
              <w:t>anul</w:t>
            </w:r>
            <w:proofErr w:type="spellEnd"/>
            <w:r w:rsidRPr="002433FA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202</w:t>
            </w:r>
            <w:r>
              <w:rPr>
                <w:b/>
                <w:bCs/>
                <w:color w:val="000000"/>
                <w:sz w:val="26"/>
                <w:szCs w:val="26"/>
                <w:lang w:val="ro-MD" w:eastAsia="ru-RU"/>
              </w:rPr>
              <w:t>3</w:t>
            </w:r>
          </w:p>
        </w:tc>
      </w:tr>
      <w:tr w:rsidR="00A20829" w:rsidRPr="002433FA" w:rsidTr="00BE295F">
        <w:trPr>
          <w:trHeight w:val="315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20829" w:rsidRPr="002433FA" w:rsidTr="00BE295F">
        <w:trPr>
          <w:gridAfter w:val="3"/>
          <w:wAfter w:w="1636" w:type="dxa"/>
          <w:trHeight w:val="885"/>
        </w:trPr>
        <w:tc>
          <w:tcPr>
            <w:tcW w:w="3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3FA">
              <w:rPr>
                <w:b/>
                <w:bCs/>
                <w:color w:val="000000"/>
                <w:sz w:val="20"/>
                <w:szCs w:val="20"/>
                <w:lang w:eastAsia="ru-RU"/>
              </w:rPr>
              <w:t>Denumirea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3FA">
              <w:rPr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2433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33FA">
              <w:rPr>
                <w:b/>
                <w:bCs/>
                <w:color w:val="000000"/>
                <w:sz w:val="20"/>
                <w:szCs w:val="20"/>
                <w:lang w:eastAsia="ru-RU"/>
              </w:rPr>
              <w:t>Eco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433FA">
              <w:rPr>
                <w:b/>
                <w:bCs/>
                <w:color w:val="000000"/>
                <w:sz w:val="20"/>
                <w:szCs w:val="20"/>
                <w:lang w:eastAsia="ru-RU"/>
              </w:rPr>
              <w:t>Aprobat</w:t>
            </w:r>
            <w:proofErr w:type="spellEnd"/>
            <w:r w:rsidRPr="002433F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2433FA">
              <w:rPr>
                <w:b/>
                <w:bCs/>
                <w:color w:val="000000"/>
                <w:sz w:val="20"/>
                <w:szCs w:val="20"/>
                <w:lang w:eastAsia="ru-RU"/>
              </w:rPr>
              <w:t>Precizat</w:t>
            </w:r>
            <w:proofErr w:type="spellEnd"/>
          </w:p>
        </w:tc>
      </w:tr>
      <w:tr w:rsidR="00A20829" w:rsidRPr="002433FA" w:rsidTr="00BE295F">
        <w:trPr>
          <w:gridAfter w:val="3"/>
          <w:wAfter w:w="1636" w:type="dxa"/>
          <w:trHeight w:val="255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33FA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33FA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33FA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A20829" w:rsidRPr="002433FA" w:rsidTr="00BE295F">
        <w:trPr>
          <w:gridAfter w:val="3"/>
          <w:wAfter w:w="1636" w:type="dxa"/>
          <w:trHeight w:val="39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I.VENITURI, </w:t>
            </w:r>
            <w:proofErr w:type="spellStart"/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total</w:t>
            </w:r>
            <w:proofErr w:type="spellEnd"/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21894,1</w:t>
            </w:r>
          </w:p>
        </w:tc>
      </w:tr>
      <w:tr w:rsidR="00A20829" w:rsidRPr="002433FA" w:rsidTr="00BE295F">
        <w:trPr>
          <w:gridAfter w:val="3"/>
          <w:wAfter w:w="1636" w:type="dxa"/>
          <w:trHeight w:val="39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         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: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transferuri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de la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bugetul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de stat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2433FA">
              <w:rPr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color w:val="000000"/>
                <w:sz w:val="22"/>
                <w:szCs w:val="22"/>
                <w:lang w:eastAsia="ru-RU"/>
              </w:rPr>
              <w:t>16248,6</w:t>
            </w:r>
          </w:p>
        </w:tc>
      </w:tr>
      <w:tr w:rsidR="00A20829" w:rsidRPr="002433FA" w:rsidTr="00BE295F">
        <w:trPr>
          <w:gridAfter w:val="3"/>
          <w:wAfter w:w="1636" w:type="dxa"/>
          <w:trHeight w:val="24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0829" w:rsidRPr="002433FA" w:rsidTr="00BE295F">
        <w:trPr>
          <w:gridAfter w:val="3"/>
          <w:wAfter w:w="1636" w:type="dxa"/>
          <w:trHeight w:val="39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II. CHELTUIELI, </w:t>
            </w:r>
            <w:proofErr w:type="spellStart"/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total</w:t>
            </w:r>
            <w:proofErr w:type="spellEnd"/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2+3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21894,1</w:t>
            </w:r>
          </w:p>
        </w:tc>
      </w:tr>
      <w:tr w:rsidR="00A20829" w:rsidRPr="002433FA" w:rsidTr="00BE295F">
        <w:trPr>
          <w:gridAfter w:val="3"/>
          <w:wAfter w:w="1636" w:type="dxa"/>
          <w:trHeight w:val="39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III. SOLD BUGETAR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1-(2+3)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0829" w:rsidRPr="002433FA" w:rsidTr="00BE295F">
        <w:trPr>
          <w:gridAfter w:val="3"/>
          <w:wAfter w:w="1636" w:type="dxa"/>
          <w:trHeight w:val="39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IV. SURSELE DE FINANŢARE, total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4+5+9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0829" w:rsidRPr="00965CC8" w:rsidTr="00BE295F">
        <w:trPr>
          <w:gridAfter w:val="3"/>
          <w:wAfter w:w="1636" w:type="dxa"/>
          <w:trHeight w:val="39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         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inclusiv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conform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clasificaţiei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economice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(k3)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2433FA">
              <w:rPr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2433FA">
              <w:rPr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A20829" w:rsidRPr="002433FA" w:rsidTr="00BE295F">
        <w:trPr>
          <w:gridAfter w:val="3"/>
          <w:wAfter w:w="1636" w:type="dxa"/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2433FA">
              <w:rPr>
                <w:color w:val="000000"/>
                <w:sz w:val="22"/>
                <w:szCs w:val="22"/>
                <w:lang w:eastAsia="ru-RU"/>
              </w:rPr>
              <w:t>Împrumuturi</w:t>
            </w:r>
            <w:proofErr w:type="spellEnd"/>
            <w:r w:rsidRPr="002433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2"/>
                <w:szCs w:val="22"/>
                <w:lang w:eastAsia="ru-RU"/>
              </w:rPr>
              <w:t>recreditate</w:t>
            </w:r>
            <w:proofErr w:type="spellEnd"/>
            <w:r w:rsidRPr="002433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2"/>
                <w:szCs w:val="22"/>
                <w:lang w:eastAsia="ru-RU"/>
              </w:rPr>
              <w:t>instituțiilor</w:t>
            </w:r>
            <w:proofErr w:type="spellEnd"/>
            <w:r w:rsidRPr="002433FA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2"/>
                <w:szCs w:val="22"/>
                <w:lang w:eastAsia="ru-RU"/>
              </w:rPr>
              <w:t>nefinanciare</w:t>
            </w:r>
            <w:proofErr w:type="spellEnd"/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color w:val="000000"/>
                <w:sz w:val="22"/>
                <w:szCs w:val="22"/>
                <w:lang w:eastAsia="ru-RU"/>
              </w:rPr>
              <w:t>471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0829" w:rsidRPr="002433FA" w:rsidTr="00BE295F">
        <w:trPr>
          <w:gridAfter w:val="3"/>
          <w:wAfter w:w="1636" w:type="dxa"/>
          <w:trHeight w:val="30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Îmnprumuturi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interne de la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instituțiile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financiare</w:t>
            </w:r>
            <w:proofErr w:type="spellEnd"/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color w:val="000000"/>
                <w:sz w:val="22"/>
                <w:szCs w:val="22"/>
                <w:lang w:eastAsia="ru-RU"/>
              </w:rPr>
              <w:t>552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0829" w:rsidRPr="002433FA" w:rsidTr="00BE295F">
        <w:trPr>
          <w:gridAfter w:val="3"/>
          <w:wAfter w:w="1636" w:type="dxa"/>
          <w:trHeight w:val="630"/>
        </w:trPr>
        <w:tc>
          <w:tcPr>
            <w:tcW w:w="3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Împrumuturi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recreditate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între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bugetul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de stat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și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bugetele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locale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color w:val="000000"/>
                <w:sz w:val="22"/>
                <w:szCs w:val="22"/>
                <w:lang w:eastAsia="ru-RU"/>
              </w:rPr>
              <w:t>561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829" w:rsidRPr="002433FA" w:rsidRDefault="00A20829" w:rsidP="00BE295F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433FA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20829" w:rsidRPr="002433FA" w:rsidTr="00BE295F">
        <w:trPr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20829" w:rsidRPr="00965CC8" w:rsidTr="00BE295F">
        <w:trPr>
          <w:gridAfter w:val="1"/>
          <w:wAfter w:w="621" w:type="dxa"/>
          <w:trHeight w:val="570"/>
        </w:trPr>
        <w:tc>
          <w:tcPr>
            <w:tcW w:w="85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0829" w:rsidRPr="002433FA" w:rsidRDefault="00A20829" w:rsidP="003B0EB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  <w:bookmarkStart w:id="0" w:name="_GoBack"/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Secretar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Consiliul</w:t>
            </w:r>
            <w:proofErr w:type="spellEnd"/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Local              </w:t>
            </w:r>
            <w:r w:rsidR="003B0EBF">
              <w:rPr>
                <w:color w:val="000000"/>
                <w:sz w:val="22"/>
                <w:szCs w:val="22"/>
                <w:lang w:val="en-US" w:eastAsia="ru-RU"/>
              </w:rPr>
              <w:t xml:space="preserve">                </w:t>
            </w:r>
            <w:r w:rsidRPr="002433FA">
              <w:rPr>
                <w:color w:val="000000"/>
                <w:sz w:val="22"/>
                <w:szCs w:val="22"/>
                <w:lang w:val="en-US" w:eastAsia="ru-RU"/>
              </w:rPr>
              <w:t xml:space="preserve">                                           N. </w:t>
            </w:r>
            <w:proofErr w:type="spellStart"/>
            <w:r w:rsidRPr="002433FA">
              <w:rPr>
                <w:color w:val="000000"/>
                <w:sz w:val="22"/>
                <w:szCs w:val="22"/>
                <w:lang w:val="en-US" w:eastAsia="ru-RU"/>
              </w:rPr>
              <w:t>Rotaru</w:t>
            </w:r>
            <w:proofErr w:type="spellEnd"/>
          </w:p>
        </w:tc>
      </w:tr>
      <w:bookmarkEnd w:id="0"/>
      <w:tr w:rsidR="00A20829" w:rsidRPr="00965CC8" w:rsidTr="00BE295F">
        <w:trPr>
          <w:gridAfter w:val="1"/>
          <w:wAfter w:w="621" w:type="dxa"/>
          <w:trHeight w:val="570"/>
        </w:trPr>
        <w:tc>
          <w:tcPr>
            <w:tcW w:w="85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A20829" w:rsidRPr="00965CC8" w:rsidTr="00BE295F">
        <w:trPr>
          <w:gridAfter w:val="1"/>
          <w:wAfter w:w="621" w:type="dxa"/>
          <w:trHeight w:val="570"/>
        </w:trPr>
        <w:tc>
          <w:tcPr>
            <w:tcW w:w="85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A20829" w:rsidRPr="00965CC8" w:rsidTr="00BE295F">
        <w:trPr>
          <w:gridAfter w:val="1"/>
          <w:wAfter w:w="621" w:type="dxa"/>
          <w:trHeight w:val="570"/>
        </w:trPr>
        <w:tc>
          <w:tcPr>
            <w:tcW w:w="85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A20829" w:rsidRPr="00965CC8" w:rsidTr="00BE295F">
        <w:trPr>
          <w:gridAfter w:val="1"/>
          <w:wAfter w:w="621" w:type="dxa"/>
          <w:trHeight w:val="30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829" w:rsidRPr="002433FA" w:rsidRDefault="00A20829" w:rsidP="00BE295F">
            <w:pPr>
              <w:suppressAutoHyphens w:val="0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</w:tbl>
    <w:p w:rsidR="00A20829" w:rsidRDefault="00A20829">
      <w:pPr>
        <w:rPr>
          <w:lang w:val="en-US"/>
        </w:rPr>
      </w:pPr>
    </w:p>
    <w:p w:rsidR="00A20829" w:rsidRDefault="00A20829">
      <w:pPr>
        <w:rPr>
          <w:lang w:val="en-US"/>
        </w:rPr>
      </w:pPr>
    </w:p>
    <w:p w:rsidR="00A20829" w:rsidRDefault="00A20829">
      <w:pPr>
        <w:rPr>
          <w:lang w:val="en-US"/>
        </w:rPr>
      </w:pPr>
    </w:p>
    <w:p w:rsidR="00A20829" w:rsidRPr="00E85C4F" w:rsidRDefault="00A20829" w:rsidP="00A20829">
      <w:pPr>
        <w:rPr>
          <w:rFonts w:eastAsia="Calibri"/>
          <w:lang w:val="en-US" w:eastAsia="en-US"/>
        </w:rPr>
      </w:pPr>
    </w:p>
    <w:p w:rsidR="00A20829" w:rsidRPr="00E85C4F" w:rsidRDefault="00A20829" w:rsidP="00A20829">
      <w:pPr>
        <w:rPr>
          <w:rFonts w:eastAsia="Calibri"/>
          <w:lang w:val="en-US" w:eastAsia="en-US"/>
        </w:rPr>
      </w:pPr>
    </w:p>
    <w:p w:rsidR="00A20829" w:rsidRPr="00E85C4F" w:rsidRDefault="00A20829" w:rsidP="00A20829">
      <w:pPr>
        <w:rPr>
          <w:rFonts w:eastAsia="Calibri"/>
          <w:lang w:val="en-US" w:eastAsia="en-US"/>
        </w:rPr>
      </w:pPr>
    </w:p>
    <w:p w:rsidR="00A20829" w:rsidRPr="00E85C4F" w:rsidRDefault="00A20829" w:rsidP="00A20829">
      <w:pPr>
        <w:rPr>
          <w:rFonts w:eastAsia="Calibri"/>
          <w:lang w:val="en-US" w:eastAsia="en-US"/>
        </w:rPr>
      </w:pPr>
    </w:p>
    <w:p w:rsidR="00A20829" w:rsidRPr="00E85C4F" w:rsidRDefault="00A20829" w:rsidP="00A20829">
      <w:pPr>
        <w:rPr>
          <w:rFonts w:eastAsia="Calibri"/>
          <w:lang w:val="en-US" w:eastAsia="en-US"/>
        </w:rPr>
      </w:pPr>
    </w:p>
    <w:p w:rsidR="00A20829" w:rsidRPr="00E85C4F" w:rsidRDefault="00A20829" w:rsidP="00A20829">
      <w:pPr>
        <w:rPr>
          <w:rFonts w:eastAsia="Calibri"/>
          <w:lang w:val="en-US" w:eastAsia="en-US"/>
        </w:rPr>
      </w:pPr>
    </w:p>
    <w:p w:rsidR="00A20829" w:rsidRPr="00E85C4F" w:rsidRDefault="00A20829" w:rsidP="00A20829">
      <w:pPr>
        <w:rPr>
          <w:rFonts w:eastAsia="Calibri"/>
          <w:lang w:val="en-US" w:eastAsia="en-US"/>
        </w:rPr>
      </w:pPr>
    </w:p>
    <w:p w:rsidR="00A20829" w:rsidRPr="006C7C78" w:rsidRDefault="00A20829">
      <w:pPr>
        <w:rPr>
          <w:lang w:val="en-US"/>
        </w:rPr>
      </w:pPr>
    </w:p>
    <w:sectPr w:rsidR="00A20829" w:rsidRPr="006C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6C0"/>
    <w:multiLevelType w:val="hybridMultilevel"/>
    <w:tmpl w:val="988CE21A"/>
    <w:lvl w:ilvl="0" w:tplc="F89AD51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2D7C"/>
    <w:multiLevelType w:val="hybridMultilevel"/>
    <w:tmpl w:val="52DE8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3BC7"/>
    <w:multiLevelType w:val="hybridMultilevel"/>
    <w:tmpl w:val="2EC215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E30ED"/>
    <w:multiLevelType w:val="hybridMultilevel"/>
    <w:tmpl w:val="1FECE202"/>
    <w:lvl w:ilvl="0" w:tplc="F89AD51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49BD23FD"/>
    <w:multiLevelType w:val="hybridMultilevel"/>
    <w:tmpl w:val="2618B4D8"/>
    <w:lvl w:ilvl="0" w:tplc="176C0B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19A1002"/>
    <w:multiLevelType w:val="multilevel"/>
    <w:tmpl w:val="500C4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D7"/>
    <w:rsid w:val="00107EC0"/>
    <w:rsid w:val="00227E09"/>
    <w:rsid w:val="003B0EBF"/>
    <w:rsid w:val="004A12B1"/>
    <w:rsid w:val="005B6FF2"/>
    <w:rsid w:val="00684068"/>
    <w:rsid w:val="006C7C78"/>
    <w:rsid w:val="00866632"/>
    <w:rsid w:val="00916A59"/>
    <w:rsid w:val="00965CC8"/>
    <w:rsid w:val="00A20829"/>
    <w:rsid w:val="00A409D7"/>
    <w:rsid w:val="00B367C4"/>
    <w:rsid w:val="00BE295F"/>
    <w:rsid w:val="00EB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D17E"/>
  <w15:docId w15:val="{72F4824C-0E19-4738-9601-61A1621D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7E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27E0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27E0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27E09"/>
    <w:rPr>
      <w:rFonts w:ascii="Tahoma" w:eastAsia="Times New Roman" w:hAnsi="Tahoma" w:cs="Tahoma"/>
      <w:sz w:val="16"/>
      <w:szCs w:val="16"/>
      <w:lang w:eastAsia="ar-SA"/>
    </w:rPr>
  </w:style>
  <w:style w:type="paragraph" w:styleId="Titlu">
    <w:name w:val="Title"/>
    <w:basedOn w:val="Normal"/>
    <w:link w:val="TitluCaracter"/>
    <w:qFormat/>
    <w:rsid w:val="00A20829"/>
    <w:pPr>
      <w:suppressAutoHyphens w:val="0"/>
      <w:jc w:val="center"/>
    </w:pPr>
    <w:rPr>
      <w:szCs w:val="20"/>
      <w:lang w:val="ro-RO" w:eastAsia="ru-RU"/>
    </w:rPr>
  </w:style>
  <w:style w:type="character" w:customStyle="1" w:styleId="TitluCaracter">
    <w:name w:val="Titlu Caracter"/>
    <w:basedOn w:val="Fontdeparagrafimplicit"/>
    <w:link w:val="Titlu"/>
    <w:rsid w:val="00A20829"/>
    <w:rPr>
      <w:rFonts w:ascii="Times New Roman" w:eastAsia="Times New Roman" w:hAnsi="Times New Roman" w:cs="Times New Roman"/>
      <w:sz w:val="28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2022-11-07T12:29:00Z</cp:lastPrinted>
  <dcterms:created xsi:type="dcterms:W3CDTF">2022-11-10T13:56:00Z</dcterms:created>
  <dcterms:modified xsi:type="dcterms:W3CDTF">2022-11-10T13:56:00Z</dcterms:modified>
</cp:coreProperties>
</file>