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11D" w:rsidRPr="002D511D" w:rsidRDefault="002D511D" w:rsidP="002D511D">
      <w:pPr>
        <w:suppressAutoHyphens/>
        <w:spacing w:after="0"/>
        <w:rPr>
          <w:rFonts w:eastAsia="Times New Roman" w:cs="Times New Roman"/>
          <w:szCs w:val="28"/>
          <w:lang w:val="en-US" w:eastAsia="ar-SA"/>
        </w:rPr>
      </w:pPr>
    </w:p>
    <w:tbl>
      <w:tblPr>
        <w:tblW w:w="9652" w:type="dxa"/>
        <w:tblInd w:w="95" w:type="dxa"/>
        <w:tblLook w:val="04A0" w:firstRow="1" w:lastRow="0" w:firstColumn="1" w:lastColumn="0" w:noHBand="0" w:noVBand="1"/>
      </w:tblPr>
      <w:tblGrid>
        <w:gridCol w:w="9652"/>
      </w:tblGrid>
      <w:tr w:rsidR="002D511D" w:rsidRPr="002D511D" w:rsidTr="00086284">
        <w:trPr>
          <w:trHeight w:val="315"/>
        </w:trPr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ind w:right="-1079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ro-RO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ro-MD" w:eastAsia="ro-RO"/>
              </w:rPr>
              <w:t xml:space="preserve">                                                                                                                               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ro-RO"/>
              </w:rPr>
              <w:t>Anexa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ro-RO"/>
              </w:rPr>
              <w:t xml:space="preserve"> </w:t>
            </w: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ro-RO"/>
              </w:rPr>
              <w:t xml:space="preserve">                </w:t>
            </w:r>
          </w:p>
        </w:tc>
      </w:tr>
      <w:tr w:rsidR="002D511D" w:rsidRPr="002D511D" w:rsidTr="00086284">
        <w:trPr>
          <w:trHeight w:val="315"/>
        </w:trPr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ind w:left="8127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>Anexa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val="en-US" w:eastAsia="ro-RO"/>
              </w:rPr>
              <w:t xml:space="preserve"> nr.2 </w:t>
            </w:r>
          </w:p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val="en-US" w:eastAsia="ro-RO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 xml:space="preserve">                                                                        la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comunal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Ivancea</w:t>
            </w:r>
            <w:proofErr w:type="spellEnd"/>
          </w:p>
        </w:tc>
      </w:tr>
      <w:tr w:rsidR="002D511D" w:rsidRPr="002D511D" w:rsidTr="00086284">
        <w:trPr>
          <w:trHeight w:val="315"/>
        </w:trPr>
        <w:tc>
          <w:tcPr>
            <w:tcW w:w="9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val="en-US" w:eastAsia="ro-RO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>nr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 xml:space="preserve">. </w:t>
            </w:r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9/6</w:t>
            </w:r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>din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 xml:space="preserve"> </w:t>
            </w:r>
            <w:r w:rsidRPr="002D511D">
              <w:rPr>
                <w:rFonts w:eastAsia="Times New Roman" w:cs="Times New Roman"/>
                <w:color w:val="000000"/>
                <w:szCs w:val="28"/>
                <w:lang w:val="ro-MD" w:eastAsia="ro-RO"/>
              </w:rPr>
              <w:t>01</w:t>
            </w:r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 xml:space="preserve"> </w:t>
            </w:r>
            <w:r w:rsidRPr="002D511D">
              <w:rPr>
                <w:rFonts w:eastAsia="Times New Roman" w:cs="Times New Roman"/>
                <w:color w:val="000000"/>
                <w:szCs w:val="28"/>
                <w:lang w:val="ro-MD" w:eastAsia="ro-RO"/>
              </w:rPr>
              <w:t>noiembrie</w:t>
            </w:r>
            <w:r w:rsidRPr="002D511D">
              <w:rPr>
                <w:rFonts w:eastAsia="Times New Roman" w:cs="Times New Roman"/>
                <w:color w:val="000000"/>
                <w:szCs w:val="28"/>
                <w:lang w:eastAsia="ro-RO"/>
              </w:rPr>
              <w:t xml:space="preserve"> 202</w:t>
            </w:r>
            <w:r w:rsidRPr="002D511D">
              <w:rPr>
                <w:rFonts w:eastAsia="Times New Roman" w:cs="Times New Roman"/>
                <w:color w:val="000000"/>
                <w:szCs w:val="28"/>
                <w:lang w:val="en-US" w:eastAsia="ro-RO"/>
              </w:rPr>
              <w:t>2</w:t>
            </w:r>
          </w:p>
        </w:tc>
      </w:tr>
    </w:tbl>
    <w:p w:rsidR="002D511D" w:rsidRPr="002D511D" w:rsidRDefault="002D511D" w:rsidP="002D511D">
      <w:pPr>
        <w:tabs>
          <w:tab w:val="left" w:pos="9639"/>
        </w:tabs>
        <w:suppressAutoHyphens/>
        <w:spacing w:after="0"/>
        <w:rPr>
          <w:rFonts w:eastAsia="Times New Roman" w:cs="Times New Roman"/>
          <w:b/>
          <w:bCs/>
          <w:i/>
          <w:szCs w:val="28"/>
          <w:lang w:val="en-US" w:eastAsia="ar-SA"/>
        </w:rPr>
      </w:pPr>
    </w:p>
    <w:p w:rsidR="002D511D" w:rsidRPr="002D511D" w:rsidRDefault="002D511D" w:rsidP="002D511D">
      <w:pPr>
        <w:suppressAutoHyphens/>
        <w:spacing w:after="0"/>
        <w:jc w:val="center"/>
        <w:rPr>
          <w:rFonts w:eastAsia="Times New Roman" w:cs="Times New Roman"/>
          <w:b/>
          <w:bCs/>
          <w:i/>
          <w:szCs w:val="28"/>
          <w:lang w:val="en-US" w:eastAsia="ar-SA"/>
        </w:rPr>
      </w:pPr>
    </w:p>
    <w:p w:rsidR="002D511D" w:rsidRPr="002D511D" w:rsidRDefault="002D511D" w:rsidP="002D511D">
      <w:pPr>
        <w:suppressAutoHyphens/>
        <w:spacing w:after="0"/>
        <w:jc w:val="center"/>
        <w:rPr>
          <w:rFonts w:eastAsia="Times New Roman" w:cs="Times New Roman"/>
          <w:b/>
          <w:bCs/>
          <w:i/>
          <w:szCs w:val="28"/>
          <w:lang w:val="en-US" w:eastAsia="ar-SA"/>
        </w:rPr>
      </w:pPr>
      <w:r w:rsidRPr="002D511D">
        <w:rPr>
          <w:rFonts w:eastAsia="Times New Roman" w:cs="Times New Roman"/>
          <w:b/>
          <w:bCs/>
          <w:i/>
          <w:szCs w:val="28"/>
          <w:lang w:val="en-US" w:eastAsia="ar-SA"/>
        </w:rPr>
        <w:t>CONSILIUL COMUNAL IVANCEA</w:t>
      </w:r>
    </w:p>
    <w:p w:rsidR="002D511D" w:rsidRPr="002D511D" w:rsidRDefault="002D511D" w:rsidP="002D511D">
      <w:pPr>
        <w:suppressAutoHyphens/>
        <w:spacing w:after="0"/>
        <w:jc w:val="right"/>
        <w:rPr>
          <w:rFonts w:eastAsia="Times New Roman" w:cs="Times New Roman"/>
          <w:b/>
          <w:bCs/>
          <w:i/>
          <w:szCs w:val="28"/>
          <w:lang w:val="ro-RO" w:eastAsia="ar-SA"/>
        </w:rPr>
      </w:pPr>
      <w:r w:rsidRPr="002D511D">
        <w:rPr>
          <w:rFonts w:eastAsia="Times New Roman" w:cs="Times New Roman"/>
          <w:b/>
          <w:bCs/>
          <w:i/>
          <w:szCs w:val="28"/>
          <w:lang w:val="ro-RO" w:eastAsia="ar-SA"/>
        </w:rPr>
        <w:t>proiect</w:t>
      </w:r>
    </w:p>
    <w:p w:rsidR="002D511D" w:rsidRPr="002D511D" w:rsidRDefault="002D511D" w:rsidP="002D511D">
      <w:pPr>
        <w:suppressAutoHyphens/>
        <w:spacing w:after="0"/>
        <w:rPr>
          <w:rFonts w:eastAsia="Times New Roman" w:cs="Times New Roman"/>
          <w:szCs w:val="28"/>
          <w:lang w:val="en-US" w:eastAsia="ar-SA"/>
        </w:rPr>
      </w:pPr>
      <w:r w:rsidRPr="002D511D">
        <w:rPr>
          <w:rFonts w:eastAsia="Times New Roman" w:cs="Times New Roman"/>
          <w:szCs w:val="28"/>
          <w:lang w:val="en-US" w:eastAsia="ar-SA"/>
        </w:rPr>
        <w:t xml:space="preserve">                                               </w:t>
      </w:r>
    </w:p>
    <w:p w:rsidR="002D511D" w:rsidRPr="002D511D" w:rsidRDefault="002D511D" w:rsidP="002D511D">
      <w:pPr>
        <w:suppressAutoHyphens/>
        <w:spacing w:after="0"/>
        <w:jc w:val="center"/>
        <w:rPr>
          <w:rFonts w:eastAsia="Times New Roman" w:cs="Times New Roman"/>
          <w:szCs w:val="28"/>
          <w:lang w:val="en-US" w:eastAsia="ar-SA"/>
        </w:rPr>
      </w:pPr>
      <w:r w:rsidRPr="002D511D">
        <w:rPr>
          <w:rFonts w:eastAsia="Times New Roman" w:cs="Times New Roman"/>
          <w:szCs w:val="28"/>
          <w:lang w:val="en-US" w:eastAsia="ar-SA"/>
        </w:rPr>
        <w:t xml:space="preserve">                                                                                                                      </w:t>
      </w:r>
    </w:p>
    <w:p w:rsidR="002D511D" w:rsidRPr="002D511D" w:rsidRDefault="002D511D" w:rsidP="002D511D">
      <w:pPr>
        <w:suppressAutoHyphens/>
        <w:spacing w:after="0"/>
        <w:jc w:val="center"/>
        <w:rPr>
          <w:rFonts w:eastAsia="Times New Roman" w:cs="Times New Roman"/>
          <w:b/>
          <w:szCs w:val="28"/>
          <w:lang w:val="ro-RO" w:eastAsia="ar-SA"/>
        </w:rPr>
      </w:pPr>
      <w:r w:rsidRPr="002D511D">
        <w:rPr>
          <w:rFonts w:eastAsia="Times New Roman" w:cs="Times New Roman"/>
          <w:b/>
          <w:szCs w:val="28"/>
          <w:lang w:val="ro-RO" w:eastAsia="ar-SA"/>
        </w:rPr>
        <w:t>DECIZIE Nr. /___</w:t>
      </w:r>
    </w:p>
    <w:p w:rsidR="002D511D" w:rsidRPr="002D511D" w:rsidRDefault="002D511D" w:rsidP="002D511D">
      <w:pPr>
        <w:suppressAutoHyphens/>
        <w:spacing w:after="0"/>
        <w:jc w:val="center"/>
        <w:rPr>
          <w:rFonts w:eastAsia="Times New Roman" w:cs="Times New Roman"/>
          <w:b/>
          <w:szCs w:val="28"/>
          <w:lang w:val="ro-RO" w:eastAsia="ar-SA"/>
        </w:rPr>
      </w:pPr>
      <w:r w:rsidRPr="002D511D">
        <w:rPr>
          <w:rFonts w:eastAsia="Times New Roman" w:cs="Times New Roman"/>
          <w:b/>
          <w:szCs w:val="28"/>
          <w:lang w:val="ro-RO" w:eastAsia="ar-SA"/>
        </w:rPr>
        <w:t>din  ____________ 2022</w:t>
      </w:r>
    </w:p>
    <w:p w:rsidR="002D511D" w:rsidRPr="002D511D" w:rsidRDefault="002D511D" w:rsidP="002D511D">
      <w:pPr>
        <w:suppressAutoHyphens/>
        <w:spacing w:after="0"/>
        <w:rPr>
          <w:rFonts w:eastAsia="Times New Roman" w:cs="Times New Roman"/>
          <w:szCs w:val="28"/>
          <w:lang w:val="en-US" w:eastAsia="ar-SA"/>
        </w:rPr>
      </w:pPr>
    </w:p>
    <w:p w:rsidR="002D511D" w:rsidRPr="002D511D" w:rsidRDefault="002D511D" w:rsidP="002D511D">
      <w:pPr>
        <w:suppressAutoHyphens/>
        <w:spacing w:after="0"/>
        <w:rPr>
          <w:rFonts w:eastAsia="Times New Roman" w:cs="Times New Roman"/>
          <w:b/>
          <w:bCs/>
          <w:i/>
          <w:szCs w:val="28"/>
          <w:lang w:val="ro-MD" w:eastAsia="ar-SA"/>
        </w:rPr>
      </w:pPr>
      <w:r w:rsidRPr="002D511D">
        <w:rPr>
          <w:rFonts w:eastAsia="Times New Roman" w:cs="Times New Roman"/>
          <w:b/>
          <w:i/>
          <w:szCs w:val="28"/>
          <w:lang w:val="ro-RO" w:eastAsia="ar-SA"/>
        </w:rPr>
        <w:t xml:space="preserve"> </w:t>
      </w:r>
      <w:r w:rsidRPr="002D511D">
        <w:rPr>
          <w:rFonts w:eastAsia="Times New Roman" w:cs="Times New Roman"/>
          <w:b/>
          <w:bCs/>
          <w:i/>
          <w:szCs w:val="28"/>
          <w:lang w:val="ro-RO" w:eastAsia="ar-SA"/>
        </w:rPr>
        <w:t xml:space="preserve">Cu privire la aprobarea bugetului </w:t>
      </w:r>
      <w:r w:rsidRPr="002D511D">
        <w:rPr>
          <w:rFonts w:eastAsia="Times New Roman" w:cs="Times New Roman"/>
          <w:b/>
          <w:bCs/>
          <w:i/>
          <w:szCs w:val="28"/>
          <w:lang w:val="ro-MD" w:eastAsia="ar-SA"/>
        </w:rPr>
        <w:t>local  pentru anul 2023</w:t>
      </w:r>
    </w:p>
    <w:p w:rsidR="002D511D" w:rsidRPr="002D511D" w:rsidRDefault="002D511D" w:rsidP="002D511D">
      <w:pPr>
        <w:suppressAutoHyphens/>
        <w:spacing w:after="0"/>
        <w:rPr>
          <w:rFonts w:eastAsia="Times New Roman" w:cs="Times New Roman"/>
          <w:b/>
          <w:bCs/>
          <w:i/>
          <w:szCs w:val="28"/>
          <w:lang w:val="ro-MD" w:eastAsia="ar-SA"/>
        </w:rPr>
      </w:pPr>
    </w:p>
    <w:p w:rsidR="002D511D" w:rsidRPr="002D511D" w:rsidRDefault="002D511D" w:rsidP="002D511D">
      <w:pPr>
        <w:suppressAutoHyphens/>
        <w:spacing w:after="0"/>
        <w:jc w:val="both"/>
        <w:rPr>
          <w:rFonts w:eastAsia="Times New Roman" w:cs="Times New Roman"/>
          <w:b/>
          <w:szCs w:val="28"/>
          <w:lang w:val="ro-MD" w:eastAsia="ar-SA"/>
        </w:rPr>
      </w:pPr>
      <w:r w:rsidRPr="002D511D">
        <w:rPr>
          <w:rFonts w:eastAsia="Times New Roman" w:cs="Times New Roman"/>
          <w:b/>
          <w:bCs/>
          <w:szCs w:val="28"/>
          <w:lang w:val="ro-MD" w:eastAsia="ar-SA"/>
        </w:rPr>
        <w:tab/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Examinînd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proiectul bugetului local Ivancea pe anul 2023 în a doua lectură, în temeiul art. 14, alin.2, lit. n, n¹) a Legii nr. 436/2006 privind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administraţia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publică locală, în conformitate cu prevederile art. 24, alin. 1, lit. a), art. 47, alin 2, lit. b), art. 55, alin. 4, art. 56 al Legii nr. 181/2014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finanţelor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publice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responsabilităţii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bugetar-fiscale, art. 21, alin. 2, lit. a, b, c), alin 4, lit. b), alin. 5, art. 22, 32 al Legii nr. 397/2003 privind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finanţele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publice locale, setul metodologic privind elaborarea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modificarea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budetului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, aprobat prin ordin Ministerului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Finanţelor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nr. 209 din 24. 12. 2015, avizul comisiei  consultative de specialitate în probleme economice,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bugeți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și finanțe, consiliul local Ivancea </w:t>
      </w:r>
      <w:r w:rsidRPr="002D511D">
        <w:rPr>
          <w:rFonts w:eastAsia="Times New Roman" w:cs="Times New Roman"/>
          <w:b/>
          <w:szCs w:val="28"/>
          <w:lang w:val="ro-MD" w:eastAsia="ar-SA"/>
        </w:rPr>
        <w:t>DECIDE:</w:t>
      </w:r>
    </w:p>
    <w:p w:rsidR="002D511D" w:rsidRPr="002D511D" w:rsidRDefault="002D511D" w:rsidP="002D511D">
      <w:pPr>
        <w:numPr>
          <w:ilvl w:val="0"/>
          <w:numId w:val="1"/>
        </w:numPr>
        <w:suppressAutoHyphens/>
        <w:spacing w:after="0"/>
        <w:rPr>
          <w:rFonts w:eastAsia="Times New Roman" w:cs="Times New Roman"/>
          <w:bCs/>
          <w:szCs w:val="28"/>
          <w:lang w:val="ro-MD" w:eastAsia="ar-SA"/>
        </w:rPr>
      </w:pPr>
      <w:r w:rsidRPr="002D511D">
        <w:rPr>
          <w:rFonts w:eastAsia="Times New Roman" w:cs="Times New Roman"/>
          <w:bCs/>
          <w:szCs w:val="28"/>
          <w:lang w:val="ro-MD" w:eastAsia="ar-SA"/>
        </w:rPr>
        <w:t>Se aprobă bugetul  local Ivancea  pentru anul 2023 în a doua lectură, după cum urmează:</w:t>
      </w:r>
    </w:p>
    <w:p w:rsidR="002D511D" w:rsidRPr="002D511D" w:rsidRDefault="002D511D" w:rsidP="002D511D">
      <w:pPr>
        <w:tabs>
          <w:tab w:val="left" w:pos="6975"/>
        </w:tabs>
        <w:suppressAutoHyphens/>
        <w:spacing w:after="0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 xml:space="preserve">1. 1 Sinteza indicatorilor generali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sursele de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finanţare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ale bugetului local Ivancea, anexa nr.1;</w:t>
      </w:r>
    </w:p>
    <w:p w:rsidR="002D511D" w:rsidRPr="002D511D" w:rsidRDefault="002D511D" w:rsidP="002D511D">
      <w:pPr>
        <w:tabs>
          <w:tab w:val="left" w:pos="6975"/>
        </w:tabs>
        <w:suppressAutoHyphens/>
        <w:spacing w:after="0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 xml:space="preserve">1. 2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Componenţa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veniturilor bugetului local Ivancea, anexa nr.2;</w:t>
      </w:r>
    </w:p>
    <w:p w:rsidR="002D511D" w:rsidRPr="002D511D" w:rsidRDefault="002D511D" w:rsidP="002D511D">
      <w:pPr>
        <w:tabs>
          <w:tab w:val="left" w:pos="6975"/>
        </w:tabs>
        <w:suppressAutoHyphens/>
        <w:spacing w:after="0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 xml:space="preserve">1. 3 Resursele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cheltuielile bugetului local Ivancea conform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clasificaţiei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funcţionale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pe programe, anexa nr.3;</w:t>
      </w:r>
    </w:p>
    <w:p w:rsidR="002D511D" w:rsidRPr="002D511D" w:rsidRDefault="002D511D" w:rsidP="002D511D">
      <w:pPr>
        <w:tabs>
          <w:tab w:val="left" w:pos="6975"/>
        </w:tabs>
        <w:suppressAutoHyphens/>
        <w:spacing w:after="0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 xml:space="preserve">1. 4 Nomenclatorul tarifelor pentru serviciile prestate contra plată de către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autorităţile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>/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instituţiile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bugetare, anexa nr. 4;</w:t>
      </w:r>
    </w:p>
    <w:p w:rsidR="002D511D" w:rsidRPr="002D511D" w:rsidRDefault="002D511D" w:rsidP="002D511D">
      <w:pPr>
        <w:tabs>
          <w:tab w:val="left" w:pos="6975"/>
        </w:tabs>
        <w:suppressAutoHyphens/>
        <w:spacing w:after="0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 xml:space="preserve">1. 5 Efectivul-limită al statelor de personal din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instituţiile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bugetare </w:t>
      </w:r>
      <w:proofErr w:type="spellStart"/>
      <w:r w:rsidRPr="002D511D">
        <w:rPr>
          <w:rFonts w:eastAsia="Times New Roman" w:cs="Times New Roman"/>
          <w:szCs w:val="28"/>
          <w:lang w:val="ro-MD" w:eastAsia="ar-SA"/>
        </w:rPr>
        <w:t>finanţate</w:t>
      </w:r>
      <w:proofErr w:type="spellEnd"/>
      <w:r w:rsidRPr="002D511D">
        <w:rPr>
          <w:rFonts w:eastAsia="Times New Roman" w:cs="Times New Roman"/>
          <w:szCs w:val="28"/>
          <w:lang w:val="ro-MD" w:eastAsia="ar-SA"/>
        </w:rPr>
        <w:t xml:space="preserve"> de la bugetul local Ivancea, anexa nr. 5;</w:t>
      </w:r>
    </w:p>
    <w:p w:rsidR="002D511D" w:rsidRPr="002D511D" w:rsidRDefault="002D511D" w:rsidP="002D511D">
      <w:pPr>
        <w:suppressAutoHyphens/>
        <w:spacing w:after="0"/>
        <w:jc w:val="both"/>
        <w:rPr>
          <w:rFonts w:eastAsia="Times New Roman" w:cs="Times New Roman"/>
          <w:bCs/>
          <w:szCs w:val="28"/>
          <w:lang w:val="ro-MD" w:eastAsia="ar-SA"/>
        </w:rPr>
      </w:pPr>
      <w:r w:rsidRPr="002D511D">
        <w:rPr>
          <w:rFonts w:eastAsia="Times New Roman" w:cs="Times New Roman"/>
          <w:bCs/>
          <w:szCs w:val="28"/>
          <w:lang w:val="ro-MD" w:eastAsia="ar-SA"/>
        </w:rPr>
        <w:t>1. 6 Cuantumul fondului de rezervă a bugetului local Ivancea, în sumă de 100,0 mii lei.</w:t>
      </w:r>
    </w:p>
    <w:p w:rsidR="002D511D" w:rsidRPr="002D511D" w:rsidRDefault="002D511D" w:rsidP="002D511D">
      <w:pPr>
        <w:numPr>
          <w:ilvl w:val="0"/>
          <w:numId w:val="1"/>
        </w:numPr>
        <w:suppressAutoHyphens/>
        <w:spacing w:after="0"/>
        <w:jc w:val="both"/>
        <w:rPr>
          <w:rFonts w:eastAsia="Times New Roman" w:cs="Times New Roman"/>
          <w:szCs w:val="28"/>
          <w:lang w:val="ro-MD" w:eastAsia="ar-SA"/>
        </w:rPr>
      </w:pPr>
      <w:r w:rsidRPr="002D511D">
        <w:rPr>
          <w:rFonts w:eastAsia="Times New Roman" w:cs="Times New Roman"/>
          <w:szCs w:val="28"/>
          <w:lang w:val="ro-RO" w:eastAsia="ar-SA"/>
        </w:rPr>
        <w:t>Se aprobă indemnizație pentru consilieri pentru fiecare zi de participarea la ședința consiliului în mărime de 500 lei.</w:t>
      </w:r>
    </w:p>
    <w:p w:rsidR="002D511D" w:rsidRPr="002D511D" w:rsidRDefault="002D511D" w:rsidP="002D511D">
      <w:pPr>
        <w:numPr>
          <w:ilvl w:val="0"/>
          <w:numId w:val="1"/>
        </w:numPr>
        <w:suppressAutoHyphens/>
        <w:spacing w:after="0"/>
        <w:jc w:val="both"/>
        <w:rPr>
          <w:rFonts w:eastAsia="Times New Roman" w:cs="Times New Roman"/>
          <w:szCs w:val="28"/>
          <w:lang w:val="ro-RO" w:eastAsia="ar-SA"/>
        </w:rPr>
      </w:pPr>
      <w:r w:rsidRPr="002D511D">
        <w:rPr>
          <w:rFonts w:eastAsia="Times New Roman" w:cs="Times New Roman"/>
          <w:szCs w:val="28"/>
          <w:lang w:val="ro-RO" w:eastAsia="ar-SA"/>
        </w:rPr>
        <w:t xml:space="preserve">Prezenta decizie întră în vigoare  la 01. 01. 2023 </w:t>
      </w:r>
      <w:proofErr w:type="spellStart"/>
      <w:r w:rsidRPr="002D511D">
        <w:rPr>
          <w:rFonts w:eastAsia="Times New Roman" w:cs="Times New Roman"/>
          <w:szCs w:val="28"/>
          <w:lang w:val="ro-RO" w:eastAsia="ar-SA"/>
        </w:rPr>
        <w:t>şi</w:t>
      </w:r>
      <w:proofErr w:type="spellEnd"/>
      <w:r w:rsidRPr="002D511D">
        <w:rPr>
          <w:rFonts w:eastAsia="Times New Roman" w:cs="Times New Roman"/>
          <w:szCs w:val="28"/>
          <w:lang w:val="ro-RO" w:eastAsia="ar-SA"/>
        </w:rPr>
        <w:t xml:space="preserve"> poate fi atacată în judecătoria Orhei în termen de 30 zile de la data includerii  acesteia în Registrul de stat al actelor locale.</w:t>
      </w:r>
    </w:p>
    <w:p w:rsidR="002D511D" w:rsidRPr="002D511D" w:rsidRDefault="002D511D" w:rsidP="002D511D">
      <w:pPr>
        <w:numPr>
          <w:ilvl w:val="0"/>
          <w:numId w:val="1"/>
        </w:numPr>
        <w:suppressAutoHyphens/>
        <w:spacing w:after="200" w:line="276" w:lineRule="auto"/>
        <w:rPr>
          <w:rFonts w:eastAsia="Times New Roman" w:cs="Times New Roman"/>
          <w:szCs w:val="28"/>
          <w:lang w:val="en-US" w:eastAsia="ar-SA"/>
        </w:rPr>
      </w:pPr>
      <w:r w:rsidRPr="002D511D">
        <w:rPr>
          <w:rFonts w:eastAsia="Times New Roman" w:cs="Times New Roman"/>
          <w:szCs w:val="28"/>
          <w:lang w:val="ro-MD" w:eastAsia="ar-SA"/>
        </w:rPr>
        <w:t>Controlul executării prezentei decizii se pune pe seama primarului comunei dl B. OCHIȘOR.</w:t>
      </w:r>
    </w:p>
    <w:tbl>
      <w:tblPr>
        <w:tblW w:w="8811" w:type="dxa"/>
        <w:tblInd w:w="959" w:type="dxa"/>
        <w:tblLook w:val="04A0" w:firstRow="1" w:lastRow="0" w:firstColumn="1" w:lastColumn="0" w:noHBand="0" w:noVBand="1"/>
      </w:tblPr>
      <w:tblGrid>
        <w:gridCol w:w="4094"/>
        <w:gridCol w:w="797"/>
        <w:gridCol w:w="212"/>
        <w:gridCol w:w="1048"/>
        <w:gridCol w:w="1260"/>
        <w:gridCol w:w="236"/>
        <w:gridCol w:w="1164"/>
      </w:tblGrid>
      <w:tr w:rsidR="002D511D" w:rsidRPr="002D511D" w:rsidTr="00086284">
        <w:trPr>
          <w:trHeight w:val="3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Anexa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nr.1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trHeight w:val="3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la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consiliul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local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trHeight w:val="3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_____ </w:t>
            </w:r>
            <w:proofErr w:type="spellStart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>din</w:t>
            </w:r>
            <w:proofErr w:type="spellEnd"/>
            <w:r w:rsidRPr="002D511D">
              <w:rPr>
                <w:rFonts w:eastAsia="Times New Roman" w:cs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trHeight w:val="3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trHeight w:val="330"/>
        </w:trPr>
        <w:tc>
          <w:tcPr>
            <w:tcW w:w="8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Indicatorii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generali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sursele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finanţare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ale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bugetului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>primăriei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val="en-US" w:eastAsia="ar-SA"/>
              </w:rPr>
              <w:t xml:space="preserve"> </w:t>
            </w:r>
          </w:p>
        </w:tc>
      </w:tr>
      <w:tr w:rsidR="002D511D" w:rsidRPr="002D511D" w:rsidTr="00086284">
        <w:trPr>
          <w:trHeight w:val="330"/>
        </w:trPr>
        <w:tc>
          <w:tcPr>
            <w:tcW w:w="8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>anul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lang w:eastAsia="ar-SA"/>
              </w:rPr>
              <w:t xml:space="preserve"> 2023</w:t>
            </w:r>
          </w:p>
        </w:tc>
      </w:tr>
      <w:tr w:rsidR="002D511D" w:rsidRPr="002D511D" w:rsidTr="00086284">
        <w:trPr>
          <w:gridAfter w:val="1"/>
          <w:wAfter w:w="1164" w:type="dxa"/>
          <w:trHeight w:val="315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gridAfter w:val="2"/>
          <w:wAfter w:w="1400" w:type="dxa"/>
          <w:trHeight w:val="885"/>
        </w:trPr>
        <w:tc>
          <w:tcPr>
            <w:tcW w:w="40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Denumirea</w:t>
            </w:r>
            <w:proofErr w:type="spellEnd"/>
          </w:p>
        </w:tc>
        <w:tc>
          <w:tcPr>
            <w:tcW w:w="10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Cod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Eco</w:t>
            </w:r>
            <w:proofErr w:type="spellEnd"/>
          </w:p>
        </w:tc>
        <w:tc>
          <w:tcPr>
            <w:tcW w:w="230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Aprobat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/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Precizat</w:t>
            </w:r>
            <w:proofErr w:type="spellEnd"/>
          </w:p>
        </w:tc>
      </w:tr>
      <w:tr w:rsidR="002D511D" w:rsidRPr="002D511D" w:rsidTr="00086284">
        <w:trPr>
          <w:gridAfter w:val="2"/>
          <w:wAfter w:w="1400" w:type="dxa"/>
          <w:trHeight w:val="255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ar-SA"/>
              </w:rPr>
              <w:t>3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 xml:space="preserve">I.VENITURI,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total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1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21894,1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         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: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transferuri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de la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de stat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 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16248,6</w:t>
            </w:r>
          </w:p>
        </w:tc>
      </w:tr>
      <w:tr w:rsidR="002D511D" w:rsidRPr="002D511D" w:rsidTr="00086284">
        <w:trPr>
          <w:gridAfter w:val="2"/>
          <w:wAfter w:w="1400" w:type="dxa"/>
          <w:trHeight w:val="24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 xml:space="preserve">II. CHELTUIELI,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total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2+3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21894,1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III. SOLD BUGETAR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1-(2+3)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val="en-US" w:eastAsia="ar-SA"/>
              </w:rPr>
              <w:t>IV. SURSELE DE FINANŢARE, total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4+5+9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39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         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conform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clasificaţiei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economice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(k3)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 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30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Împrumuturi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recreditate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instituțiilor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nefinanciare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471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30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Îmnprumuturi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interne de la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instituțiile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financiare</w:t>
            </w:r>
            <w:proofErr w:type="spellEnd"/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552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2"/>
          <w:wAfter w:w="1400" w:type="dxa"/>
          <w:trHeight w:val="630"/>
        </w:trPr>
        <w:tc>
          <w:tcPr>
            <w:tcW w:w="40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Împrumuturi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recreditate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între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de stat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2"/>
                <w:lang w:val="en-US" w:eastAsia="ar-SA"/>
              </w:rPr>
              <w:t xml:space="preserve"> locale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561</w:t>
            </w:r>
          </w:p>
        </w:tc>
        <w:tc>
          <w:tcPr>
            <w:tcW w:w="230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2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1"/>
          <w:wAfter w:w="1164" w:type="dxa"/>
          <w:trHeight w:val="300"/>
        </w:trPr>
        <w:tc>
          <w:tcPr>
            <w:tcW w:w="4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10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23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  <w:tr w:rsidR="002D511D" w:rsidRPr="002D511D" w:rsidTr="00086284">
        <w:trPr>
          <w:trHeight w:val="300"/>
        </w:trPr>
        <w:tc>
          <w:tcPr>
            <w:tcW w:w="8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 w:val="22"/>
                <w:lang w:eastAsia="ar-SA"/>
              </w:rPr>
            </w:pPr>
          </w:p>
        </w:tc>
      </w:tr>
    </w:tbl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tbl>
      <w:tblPr>
        <w:tblW w:w="9160" w:type="dxa"/>
        <w:tblInd w:w="93" w:type="dxa"/>
        <w:tblLook w:val="04A0" w:firstRow="1" w:lastRow="0" w:firstColumn="1" w:lastColumn="0" w:noHBand="0" w:noVBand="1"/>
      </w:tblPr>
      <w:tblGrid>
        <w:gridCol w:w="7000"/>
        <w:gridCol w:w="1000"/>
        <w:gridCol w:w="1160"/>
      </w:tblGrid>
      <w:tr w:rsidR="002D511D" w:rsidRPr="002D511D" w:rsidTr="00086284">
        <w:trPr>
          <w:trHeight w:val="3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lastRenderedPageBreak/>
              <w:t>Anexa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ar-SA"/>
              </w:rPr>
              <w:t xml:space="preserve"> nr.2</w:t>
            </w:r>
          </w:p>
        </w:tc>
      </w:tr>
      <w:tr w:rsidR="002D511D" w:rsidRPr="002D511D" w:rsidTr="00086284">
        <w:trPr>
          <w:trHeight w:val="278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la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comunal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Ivancea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</w:tr>
      <w:tr w:rsidR="002D511D" w:rsidRPr="002D511D" w:rsidTr="00086284">
        <w:trPr>
          <w:trHeight w:val="289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.  </w:t>
            </w:r>
            <w:proofErr w:type="spellStart"/>
            <w:proofErr w:type="gram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din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 _</w:t>
            </w:r>
            <w:proofErr w:type="gram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_________ 2022</w:t>
            </w:r>
          </w:p>
        </w:tc>
      </w:tr>
      <w:tr w:rsidR="002D511D" w:rsidRPr="002D511D" w:rsidTr="00086284">
        <w:trPr>
          <w:trHeight w:val="278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Componența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veniturilor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bugetului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local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Ivancea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anul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2023</w:t>
            </w:r>
          </w:p>
        </w:tc>
      </w:tr>
      <w:tr w:rsidR="002D511D" w:rsidRPr="002D511D" w:rsidTr="00086284">
        <w:trPr>
          <w:trHeight w:val="529"/>
        </w:trPr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Denumirea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Cod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Eco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(k4)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Suma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mii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lei</w:t>
            </w:r>
            <w:proofErr w:type="spellEnd"/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Venituri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total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: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inclusiv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13577,2</w:t>
            </w:r>
          </w:p>
        </w:tc>
      </w:tr>
      <w:tr w:rsidR="002D511D" w:rsidRPr="002D511D" w:rsidTr="00086284">
        <w:trPr>
          <w:trHeight w:val="289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Impozit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venitul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total,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4198,8</w:t>
            </w:r>
          </w:p>
        </w:tc>
      </w:tr>
      <w:tr w:rsidR="002D511D" w:rsidRPr="002D511D" w:rsidTr="00086284">
        <w:trPr>
          <w:trHeight w:val="278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venitul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reținut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din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salariu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111110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3938,1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venitul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aferent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declarațiilor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depuse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111121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260,0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venit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desfășoară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activități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obținut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din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activități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independente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in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domeniul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comerțului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111124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3,0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venitul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aferent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operaţiunilor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predare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posesie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sau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folosinţă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proprietăţii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111130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0,7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funciar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total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324,6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funciar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al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juridice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inregistrate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calitate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intreprinzator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113161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163,4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funciar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al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fizice-cetateni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113171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161,2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bunurile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total,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227,4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ale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juridice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113210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115,3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ale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113220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32,8</w:t>
            </w:r>
          </w:p>
        </w:tc>
      </w:tr>
      <w:tr w:rsidR="002D511D" w:rsidRPr="002D511D" w:rsidTr="00086284">
        <w:trPr>
          <w:trHeight w:val="78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achitat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către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juridice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înregistrate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calitate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întreprinzător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din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valoarea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estimată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(de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piață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) 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113230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45,3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Impozitul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achitat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către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persoanele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fizice-cetăţeni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din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valoarea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estimată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(de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piaţă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) 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imobiliare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113240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34,0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Taxe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servicii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specifice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total,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1144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234,3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Taxa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amenajarea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teritoriului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114412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42,0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Taxa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unitățile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comerciale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sau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prestări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servicii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114418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160,3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Taxa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cazare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114421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32,0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Renta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8,7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Arenda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terenurilor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destinaţie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agricolă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încasată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local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141522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8,7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Taxe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plăţi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administrative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1,0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Plata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certificate de urbanism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autorizările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construire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142215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1,0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Comercializarea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mărfurilor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serviciilor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către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instituţiile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bugetare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1328,6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Încasări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la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prestarea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serviciilor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plată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142310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890,3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Plată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locaţiunea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bunurilor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patrimoniului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public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142320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438,3</w:t>
            </w:r>
          </w:p>
        </w:tc>
      </w:tr>
      <w:tr w:rsidR="002D511D" w:rsidRPr="002D511D" w:rsidTr="00086284">
        <w:trPr>
          <w:trHeight w:val="263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Alte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venituri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1451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0,5</w:t>
            </w:r>
          </w:p>
        </w:tc>
      </w:tr>
      <w:tr w:rsidR="002D511D" w:rsidRPr="002D511D" w:rsidTr="00086284">
        <w:trPr>
          <w:trHeight w:val="30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Alte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venituri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încasate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locale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145142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0,5</w:t>
            </w:r>
          </w:p>
        </w:tc>
      </w:tr>
      <w:tr w:rsidR="002D511D" w:rsidRPr="002D511D" w:rsidTr="00086284">
        <w:trPr>
          <w:trHeight w:val="289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Transferuri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primite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între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de stat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locale de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1912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7253,3</w:t>
            </w:r>
          </w:p>
        </w:tc>
      </w:tr>
      <w:tr w:rsidR="002D511D" w:rsidRPr="002D511D" w:rsidTr="00086284">
        <w:trPr>
          <w:trHeight w:val="780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Transferuri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curente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primite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destinaţie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specială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stat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locale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învățământul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preșcolar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primar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secundar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general, special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complementar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(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extrașcolar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191211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4530,9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Transferuri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curente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primite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destinaţie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specială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stat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locale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pentru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infrastructura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drumurilor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191216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1414,6</w:t>
            </w:r>
          </w:p>
        </w:tc>
      </w:tr>
      <w:tr w:rsidR="002D511D" w:rsidRPr="002D511D" w:rsidTr="00086284">
        <w:trPr>
          <w:trHeight w:val="525"/>
        </w:trPr>
        <w:tc>
          <w:tcPr>
            <w:tcW w:w="7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Transferuri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curente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primite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destinaţie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generală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între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de stat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bugetele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locale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>nivelul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val="en-US" w:eastAsia="ar-SA"/>
              </w:rPr>
              <w:t xml:space="preserve"> 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191231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20"/>
                <w:szCs w:val="20"/>
                <w:lang w:eastAsia="ar-SA"/>
              </w:rPr>
              <w:t>1307,8</w:t>
            </w:r>
          </w:p>
        </w:tc>
      </w:tr>
      <w:tr w:rsidR="002D511D" w:rsidRPr="002D511D" w:rsidTr="00086284">
        <w:trPr>
          <w:trHeight w:val="600"/>
        </w:trPr>
        <w:tc>
          <w:tcPr>
            <w:tcW w:w="91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ar-SA"/>
              </w:rPr>
            </w:pPr>
          </w:p>
        </w:tc>
      </w:tr>
    </w:tbl>
    <w:p w:rsidR="002D511D" w:rsidRPr="002D511D" w:rsidRDefault="002D511D" w:rsidP="002D511D">
      <w:pPr>
        <w:suppressAutoHyphens/>
        <w:spacing w:after="200" w:line="276" w:lineRule="auto"/>
        <w:rPr>
          <w:rFonts w:eastAsia="Calibri" w:cs="Times New Roman"/>
          <w:b/>
          <w:szCs w:val="28"/>
          <w:lang w:val="en-US"/>
        </w:rPr>
      </w:pPr>
    </w:p>
    <w:tbl>
      <w:tblPr>
        <w:tblW w:w="10470" w:type="dxa"/>
        <w:tblInd w:w="-601" w:type="dxa"/>
        <w:tblLook w:val="04A0" w:firstRow="1" w:lastRow="0" w:firstColumn="1" w:lastColumn="0" w:noHBand="0" w:noVBand="1"/>
      </w:tblPr>
      <w:tblGrid>
        <w:gridCol w:w="736"/>
        <w:gridCol w:w="236"/>
        <w:gridCol w:w="1763"/>
        <w:gridCol w:w="410"/>
        <w:gridCol w:w="3096"/>
        <w:gridCol w:w="825"/>
        <w:gridCol w:w="769"/>
        <w:gridCol w:w="56"/>
        <w:gridCol w:w="1782"/>
        <w:gridCol w:w="438"/>
        <w:gridCol w:w="359"/>
      </w:tblGrid>
      <w:tr w:rsidR="002D511D" w:rsidRPr="002D511D" w:rsidTr="00086284">
        <w:trPr>
          <w:trHeight w:val="315"/>
        </w:trPr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before="100" w:beforeAutospacing="1" w:after="100" w:afterAutospacing="1"/>
              <w:ind w:left="-227" w:right="-227"/>
              <w:jc w:val="center"/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val="en-US" w:eastAsia="ar-SA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ar-SA"/>
              </w:rPr>
              <w:t>Anexa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 w:val="18"/>
                <w:szCs w:val="18"/>
                <w:lang w:eastAsia="ar-SA"/>
              </w:rPr>
              <w:t xml:space="preserve"> nr.3</w:t>
            </w:r>
          </w:p>
        </w:tc>
      </w:tr>
      <w:tr w:rsidR="002D511D" w:rsidRPr="002D511D" w:rsidTr="00086284">
        <w:trPr>
          <w:trHeight w:val="315"/>
        </w:trPr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before="100" w:beforeAutospacing="1" w:after="100" w:afterAutospacing="1"/>
              <w:ind w:left="-227" w:right="-22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</w:pPr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                                                                                                                                                   la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local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>Ivancea</w:t>
            </w:r>
            <w:proofErr w:type="spellEnd"/>
          </w:p>
        </w:tc>
      </w:tr>
      <w:tr w:rsidR="002D511D" w:rsidRPr="002D511D" w:rsidTr="00086284">
        <w:trPr>
          <w:trHeight w:val="315"/>
        </w:trPr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before="100" w:beforeAutospacing="1" w:after="100" w:afterAutospacing="1"/>
              <w:ind w:left="-227" w:right="-227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val="en-US" w:eastAsia="ar-SA"/>
              </w:rPr>
              <w:t xml:space="preserve">                                                                                                                                                                        </w:t>
            </w:r>
            <w:proofErr w:type="spellStart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.   </w:t>
            </w:r>
            <w:proofErr w:type="spellStart"/>
            <w:proofErr w:type="gramStart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din</w:t>
            </w:r>
            <w:proofErr w:type="spellEnd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 xml:space="preserve">  _</w:t>
            </w:r>
            <w:proofErr w:type="gramEnd"/>
            <w:r w:rsidRPr="002D511D">
              <w:rPr>
                <w:rFonts w:eastAsia="Times New Roman" w:cs="Times New Roman"/>
                <w:color w:val="000000"/>
                <w:sz w:val="18"/>
                <w:szCs w:val="18"/>
                <w:lang w:eastAsia="ar-SA"/>
              </w:rPr>
              <w:t>_____ 2022</w:t>
            </w:r>
          </w:p>
        </w:tc>
      </w:tr>
      <w:tr w:rsidR="002D511D" w:rsidRPr="002D511D" w:rsidTr="00086284">
        <w:trPr>
          <w:trHeight w:val="480"/>
        </w:trPr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before="100" w:beforeAutospacing="1" w:after="100" w:afterAutospacing="1"/>
              <w:ind w:left="-227" w:right="-22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Resursele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cheltuielile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bugetului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local</w:t>
            </w:r>
          </w:p>
        </w:tc>
      </w:tr>
      <w:tr w:rsidR="002D511D" w:rsidRPr="002D511D" w:rsidTr="00086284">
        <w:trPr>
          <w:trHeight w:val="330"/>
        </w:trPr>
        <w:tc>
          <w:tcPr>
            <w:tcW w:w="104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before="100" w:beforeAutospacing="1" w:after="100" w:afterAutospacing="1"/>
              <w:ind w:left="-227" w:right="-227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conform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clasificașiei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funcționale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 xml:space="preserve"> pe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en-US" w:eastAsia="ar-SA"/>
              </w:rPr>
              <w:t>programe</w:t>
            </w:r>
            <w:proofErr w:type="spellEnd"/>
          </w:p>
        </w:tc>
      </w:tr>
      <w:tr w:rsidR="002D511D" w:rsidRPr="002D511D" w:rsidTr="00086284">
        <w:trPr>
          <w:trHeight w:val="344"/>
        </w:trPr>
        <w:tc>
          <w:tcPr>
            <w:tcW w:w="7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>Denumirea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>Cod</w:t>
            </w:r>
            <w:proofErr w:type="spellEnd"/>
          </w:p>
        </w:tc>
        <w:tc>
          <w:tcPr>
            <w:tcW w:w="2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>Suma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>mii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3F3F3F"/>
                <w:szCs w:val="28"/>
                <w:lang w:eastAsia="ar-SA"/>
              </w:rPr>
              <w:t>lei</w:t>
            </w:r>
            <w:proofErr w:type="spellEnd"/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recurente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24251,6</w:t>
            </w:r>
          </w:p>
        </w:tc>
      </w:tr>
      <w:tr w:rsidR="002D511D" w:rsidRPr="002D511D" w:rsidTr="00086284">
        <w:trPr>
          <w:trHeight w:val="323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        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inclusiv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personal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6307,6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Servicii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de stat cu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destinaţie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generală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13580,4</w:t>
            </w:r>
          </w:p>
        </w:tc>
      </w:tr>
      <w:tr w:rsidR="002D511D" w:rsidRPr="002D511D" w:rsidTr="00086284">
        <w:trPr>
          <w:trHeight w:val="312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13580,4</w:t>
            </w:r>
          </w:p>
        </w:tc>
      </w:tr>
      <w:tr w:rsidR="002D511D" w:rsidRPr="002D511D" w:rsidTr="00086284">
        <w:trPr>
          <w:trHeight w:val="312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generale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12251,8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colectate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autorități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instituții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bugetare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1328,6</w:t>
            </w:r>
          </w:p>
        </w:tc>
      </w:tr>
      <w:tr w:rsidR="002D511D" w:rsidRPr="002D511D" w:rsidTr="00086284">
        <w:trPr>
          <w:trHeight w:val="312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2909,2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Exercitarea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guvernării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0301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2809,2</w:t>
            </w:r>
          </w:p>
        </w:tc>
      </w:tr>
      <w:tr w:rsidR="002D511D" w:rsidRPr="002D511D" w:rsidTr="00086284">
        <w:trPr>
          <w:trHeight w:val="330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Gestionarea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fondurilor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rezervă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intervenţie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>Servicii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>în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>domeniul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>economiei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4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1414,6</w:t>
            </w:r>
          </w:p>
        </w:tc>
      </w:tr>
      <w:tr w:rsidR="002D511D" w:rsidRPr="002D511D" w:rsidTr="00086284">
        <w:trPr>
          <w:trHeight w:val="312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generale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1414,6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colectate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autorități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instituții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bugetare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 </w:t>
            </w:r>
          </w:p>
        </w:tc>
      </w:tr>
      <w:tr w:rsidR="002D511D" w:rsidRPr="002D511D" w:rsidTr="00086284">
        <w:trPr>
          <w:trHeight w:val="312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1414,6</w:t>
            </w:r>
          </w:p>
        </w:tc>
      </w:tr>
      <w:tr w:rsidR="002D511D" w:rsidRPr="002D511D" w:rsidTr="00086284">
        <w:trPr>
          <w:trHeight w:val="330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Transport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rutier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6402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1414,6</w:t>
            </w:r>
          </w:p>
        </w:tc>
      </w:tr>
      <w:tr w:rsidR="002D511D" w:rsidRPr="002D511D" w:rsidTr="00086284">
        <w:trPr>
          <w:trHeight w:val="259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Gospodăria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locuinţe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gospodăria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serviciilor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comunale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6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2343,5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2343,5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generale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1765,5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colectate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autorități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instituții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bugetare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578,0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2343,5</w:t>
            </w:r>
          </w:p>
        </w:tc>
      </w:tr>
      <w:tr w:rsidR="002D511D" w:rsidRPr="002D511D" w:rsidTr="00086284">
        <w:trPr>
          <w:trHeight w:val="300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Dezvoltarea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gospodăriei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locuinţe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serviciilor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comunale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7502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1083,5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Aprovizionarea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cu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apa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7503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760,0</w:t>
            </w:r>
          </w:p>
        </w:tc>
      </w:tr>
      <w:tr w:rsidR="002D511D" w:rsidRPr="002D511D" w:rsidTr="00086284">
        <w:trPr>
          <w:trHeight w:val="330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Iluminarea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stradală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7505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500,0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Cultură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, sport,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tineret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culte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şi</w:t>
            </w:r>
            <w:proofErr w:type="spellEnd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val="en-US" w:eastAsia="ar-SA"/>
              </w:rPr>
              <w:t>odihnă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8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1740,0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1740,0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generale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1740,0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colectate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autorități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instituții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bugetare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 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1740,0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Dezvoltarea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culturii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8502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1680,0</w:t>
            </w:r>
          </w:p>
        </w:tc>
      </w:tr>
      <w:tr w:rsidR="002D511D" w:rsidRPr="002D511D" w:rsidTr="00086284">
        <w:trPr>
          <w:trHeight w:val="330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Sport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8602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60,0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i/>
                <w:iCs/>
                <w:color w:val="000000"/>
                <w:szCs w:val="28"/>
                <w:lang w:eastAsia="ar-SA"/>
              </w:rPr>
              <w:t>Învăţămînt</w:t>
            </w:r>
            <w:proofErr w:type="spellEnd"/>
          </w:p>
        </w:tc>
        <w:tc>
          <w:tcPr>
            <w:tcW w:w="82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9</w:t>
            </w:r>
          </w:p>
        </w:tc>
        <w:tc>
          <w:tcPr>
            <w:tcW w:w="257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5173,1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5173,1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generale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4530,9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          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Resurse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colectate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autorități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/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instituții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val="en-US" w:eastAsia="ar-SA"/>
              </w:rPr>
              <w:t>bugetare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642,2</w:t>
            </w:r>
          </w:p>
        </w:tc>
      </w:tr>
      <w:tr w:rsidR="002D511D" w:rsidRPr="002D511D" w:rsidTr="00086284">
        <w:trPr>
          <w:trHeight w:val="31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Cheltuieli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5173,1</w:t>
            </w:r>
          </w:p>
        </w:tc>
      </w:tr>
      <w:tr w:rsidR="002D511D" w:rsidRPr="002D511D" w:rsidTr="00086284">
        <w:trPr>
          <w:trHeight w:val="175"/>
        </w:trPr>
        <w:tc>
          <w:tcPr>
            <w:tcW w:w="7066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Educație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timpurie</w:t>
            </w:r>
            <w:proofErr w:type="spellEnd"/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8802</w:t>
            </w:r>
          </w:p>
        </w:tc>
        <w:tc>
          <w:tcPr>
            <w:tcW w:w="25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5173,1</w:t>
            </w:r>
          </w:p>
        </w:tc>
      </w:tr>
      <w:tr w:rsidR="002D511D" w:rsidRPr="002D511D" w:rsidTr="00086284">
        <w:trPr>
          <w:gridAfter w:val="7"/>
          <w:wAfter w:w="7325" w:type="dxa"/>
          <w:trHeight w:val="315"/>
        </w:trPr>
        <w:tc>
          <w:tcPr>
            <w:tcW w:w="31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  <w:r w:rsidRPr="002D511D"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  <w:t> </w:t>
            </w:r>
          </w:p>
        </w:tc>
      </w:tr>
      <w:tr w:rsidR="002D511D" w:rsidRPr="002D511D" w:rsidTr="00086284">
        <w:trPr>
          <w:gridAfter w:val="1"/>
          <w:wAfter w:w="359" w:type="dxa"/>
          <w:trHeight w:val="315"/>
        </w:trPr>
        <w:tc>
          <w:tcPr>
            <w:tcW w:w="1011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</w:pPr>
          </w:p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i/>
                <w:sz w:val="20"/>
                <w:szCs w:val="20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sz w:val="20"/>
                <w:szCs w:val="20"/>
                <w:lang w:val="en-US" w:eastAsia="ar-SA"/>
              </w:rPr>
              <w:lastRenderedPageBreak/>
              <w:t>Anexa</w:t>
            </w:r>
            <w:proofErr w:type="spellEnd"/>
            <w:r w:rsidRPr="002D511D">
              <w:rPr>
                <w:rFonts w:eastAsia="Times New Roman" w:cs="Times New Roman"/>
                <w:i/>
                <w:sz w:val="20"/>
                <w:szCs w:val="20"/>
                <w:lang w:val="en-US" w:eastAsia="ar-SA"/>
              </w:rPr>
              <w:t xml:space="preserve"> nr. 4</w:t>
            </w:r>
          </w:p>
          <w:p w:rsidR="002D511D" w:rsidRPr="002D511D" w:rsidRDefault="002D511D" w:rsidP="002D511D">
            <w:pPr>
              <w:tabs>
                <w:tab w:val="left" w:pos="7371"/>
              </w:tabs>
              <w:suppressAutoHyphens/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 xml:space="preserve">la </w:t>
            </w:r>
            <w:proofErr w:type="spellStart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 xml:space="preserve"> local </w:t>
            </w:r>
            <w:proofErr w:type="spellStart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>Ivancea</w:t>
            </w:r>
            <w:proofErr w:type="spellEnd"/>
          </w:p>
          <w:p w:rsidR="002D511D" w:rsidRPr="002D511D" w:rsidRDefault="002D511D" w:rsidP="002D511D">
            <w:pPr>
              <w:tabs>
                <w:tab w:val="left" w:pos="7371"/>
              </w:tabs>
              <w:suppressAutoHyphens/>
              <w:spacing w:after="0"/>
              <w:jc w:val="right"/>
              <w:rPr>
                <w:rFonts w:eastAsia="Times New Roman" w:cs="Times New Roman"/>
                <w:sz w:val="20"/>
                <w:szCs w:val="20"/>
                <w:lang w:val="en-US" w:eastAsia="ar-SA"/>
              </w:rPr>
            </w:pPr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>nr__</w:t>
            </w:r>
            <w:proofErr w:type="gramStart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>_  din</w:t>
            </w:r>
            <w:proofErr w:type="gramEnd"/>
            <w:r w:rsidRPr="002D511D">
              <w:rPr>
                <w:rFonts w:eastAsia="Times New Roman" w:cs="Times New Roman"/>
                <w:sz w:val="20"/>
                <w:szCs w:val="20"/>
                <w:lang w:val="en-US" w:eastAsia="ar-SA"/>
              </w:rPr>
              <w:t xml:space="preserve"> _______  2022</w:t>
            </w:r>
          </w:p>
          <w:p w:rsidR="002D511D" w:rsidRPr="002D511D" w:rsidRDefault="002D511D" w:rsidP="002D511D">
            <w:pPr>
              <w:tabs>
                <w:tab w:val="left" w:pos="7371"/>
              </w:tabs>
              <w:suppressAutoHyphens/>
              <w:spacing w:after="0"/>
              <w:jc w:val="right"/>
              <w:rPr>
                <w:rFonts w:eastAsia="Times New Roman" w:cs="Times New Roman"/>
                <w:sz w:val="22"/>
                <w:szCs w:val="20"/>
                <w:lang w:val="en-US" w:eastAsia="ar-SA"/>
              </w:rPr>
            </w:pPr>
          </w:p>
          <w:p w:rsidR="002D511D" w:rsidRPr="002D511D" w:rsidRDefault="002D511D" w:rsidP="002D511D">
            <w:pPr>
              <w:tabs>
                <w:tab w:val="left" w:pos="7371"/>
              </w:tabs>
              <w:suppressAutoHyphens/>
              <w:spacing w:after="0"/>
              <w:jc w:val="center"/>
              <w:rPr>
                <w:rFonts w:eastAsia="Times New Roman" w:cs="Times New Roman"/>
                <w:b/>
                <w:sz w:val="22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b/>
                <w:sz w:val="22"/>
                <w:szCs w:val="28"/>
                <w:lang w:val="ro-RO" w:eastAsia="ar-SA"/>
              </w:rPr>
              <w:t xml:space="preserve">Nomenclatorul tarifelor pentru serviciile prestate contra plată de către </w:t>
            </w:r>
            <w:proofErr w:type="spellStart"/>
            <w:r w:rsidRPr="002D511D">
              <w:rPr>
                <w:rFonts w:eastAsia="Times New Roman" w:cs="Times New Roman"/>
                <w:b/>
                <w:sz w:val="22"/>
                <w:szCs w:val="28"/>
                <w:lang w:val="ro-RO" w:eastAsia="ar-SA"/>
              </w:rPr>
              <w:t>instituţiile</w:t>
            </w:r>
            <w:proofErr w:type="spellEnd"/>
            <w:r w:rsidRPr="002D511D">
              <w:rPr>
                <w:rFonts w:eastAsia="Times New Roman" w:cs="Times New Roman"/>
                <w:b/>
                <w:sz w:val="22"/>
                <w:szCs w:val="28"/>
                <w:lang w:val="ro-RO" w:eastAsia="ar-SA"/>
              </w:rPr>
              <w:t xml:space="preserve"> bugetare</w:t>
            </w:r>
          </w:p>
          <w:tbl>
            <w:tblPr>
              <w:tblW w:w="96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76"/>
              <w:gridCol w:w="157"/>
              <w:gridCol w:w="1067"/>
              <w:gridCol w:w="5593"/>
              <w:gridCol w:w="2409"/>
            </w:tblGrid>
            <w:tr w:rsidR="002D511D" w:rsidRPr="002D511D" w:rsidTr="00086284">
              <w:trPr>
                <w:trHeight w:val="837"/>
              </w:trPr>
              <w:tc>
                <w:tcPr>
                  <w:tcW w:w="533" w:type="dxa"/>
                  <w:gridSpan w:val="2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Nr. d/o</w:t>
                  </w:r>
                </w:p>
              </w:tc>
              <w:tc>
                <w:tcPr>
                  <w:tcW w:w="1066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Codul Eco (K6)</w:t>
                  </w: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Instituţia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, denumirea serviciilor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Costul serviciilor (lei)</w:t>
                  </w:r>
                </w:p>
              </w:tc>
            </w:tr>
            <w:tr w:rsidR="002D511D" w:rsidRPr="002D511D" w:rsidTr="00086284">
              <w:trPr>
                <w:trHeight w:val="272"/>
              </w:trPr>
              <w:tc>
                <w:tcPr>
                  <w:tcW w:w="533" w:type="dxa"/>
                  <w:gridSpan w:val="2"/>
                  <w:tcBorders>
                    <w:bottom w:val="single" w:sz="4" w:space="0" w:color="auto"/>
                  </w:tcBorders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  <w:t>1</w:t>
                  </w:r>
                </w:p>
              </w:tc>
              <w:tc>
                <w:tcPr>
                  <w:tcW w:w="1066" w:type="dxa"/>
                  <w:tcBorders>
                    <w:bottom w:val="single" w:sz="4" w:space="0" w:color="auto"/>
                  </w:tcBorders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  <w:t>2</w:t>
                  </w:r>
                </w:p>
              </w:tc>
              <w:tc>
                <w:tcPr>
                  <w:tcW w:w="5593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  <w:t>3</w:t>
                  </w:r>
                </w:p>
              </w:tc>
              <w:tc>
                <w:tcPr>
                  <w:tcW w:w="2409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i/>
                      <w:sz w:val="22"/>
                      <w:szCs w:val="28"/>
                      <w:lang w:val="ro-RO" w:eastAsia="ar-SA"/>
                    </w:rPr>
                    <w:t>4</w:t>
                  </w:r>
                </w:p>
              </w:tc>
            </w:tr>
            <w:tr w:rsidR="002D511D" w:rsidRPr="002D511D" w:rsidTr="00086284">
              <w:trPr>
                <w:trHeight w:val="861"/>
              </w:trPr>
              <w:tc>
                <w:tcPr>
                  <w:tcW w:w="533" w:type="dxa"/>
                  <w:gridSpan w:val="2"/>
                  <w:tcBorders>
                    <w:bottom w:val="nil"/>
                  </w:tcBorders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</w:t>
                  </w:r>
                </w:p>
              </w:tc>
              <w:tc>
                <w:tcPr>
                  <w:tcW w:w="1066" w:type="dxa"/>
                  <w:tcBorders>
                    <w:bottom w:val="nil"/>
                  </w:tcBorders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142320</w:t>
                  </w:r>
                </w:p>
              </w:tc>
              <w:tc>
                <w:tcPr>
                  <w:tcW w:w="5593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both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Tariful de bază pentru chiria anuală a unui metru pătrat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spaţiu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acordat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instituţiile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publice: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      Cuantumul minim al chiriei se determină conform formulei aprobate în legile bugetare anuale </w:t>
                  </w:r>
                </w:p>
              </w:tc>
            </w:tr>
            <w:tr w:rsidR="002D511D" w:rsidRPr="002D511D" w:rsidTr="00086284">
              <w:trPr>
                <w:trHeight w:val="272"/>
              </w:trPr>
              <w:tc>
                <w:tcPr>
                  <w:tcW w:w="9601" w:type="dxa"/>
                  <w:gridSpan w:val="5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Grădiniţele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>finanţate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ro-RO" w:eastAsia="ar-SA"/>
                    </w:rPr>
                    <w:t xml:space="preserve"> din bugetul local:</w:t>
                  </w:r>
                </w:p>
              </w:tc>
            </w:tr>
            <w:tr w:rsidR="002D511D" w:rsidRPr="002D511D" w:rsidTr="00086284">
              <w:trPr>
                <w:trHeight w:val="382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2</w:t>
                  </w: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142310</w:t>
                  </w:r>
                </w:p>
              </w:tc>
              <w:tc>
                <w:tcPr>
                  <w:tcW w:w="5593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both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Plata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părinţilor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pentru alimentarea copiilor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vîrstă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preşcolară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(lei/copil/zi) 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Conform ordinelor Min.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Educaţiei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</w:t>
                  </w:r>
                </w:p>
              </w:tc>
            </w:tr>
            <w:tr w:rsidR="002D511D" w:rsidRPr="002D511D" w:rsidTr="00086284">
              <w:trPr>
                <w:trHeight w:val="272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3</w:t>
                  </w: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142310</w:t>
                  </w:r>
                </w:p>
              </w:tc>
              <w:tc>
                <w:tcPr>
                  <w:tcW w:w="5593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both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eastAsia="ar-SA"/>
                    </w:rPr>
                    <w:t>SERVICII DE SECRETARIAT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caracteristicii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>certificatului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>privind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eastAsia="ar-SA"/>
                    </w:rPr>
                    <w:t>moștenire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10, 00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certificatului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de urbanism p-u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proiectare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/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informativ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50.00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vertAlign w:val="superscript"/>
                      <w:lang w:val="ro-RO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autorizaţiilor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construcţie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/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desființare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ro-RO" w:eastAsia="ar-SA"/>
                    </w:rPr>
                    <w:t>Plata de notificare</w:t>
                  </w: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 xml:space="preserve"> 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100,00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unui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extras din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arhiva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primăriei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20.00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certificatului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din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arhivă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privind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salariu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p/u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fiecare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an 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5, 00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adeverinţei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realizare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producţiei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extrasului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din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registru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evidență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>gospodăriilor</w:t>
                  </w:r>
                  <w:proofErr w:type="spellEnd"/>
                  <w:r w:rsidRPr="002D511D"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  <w:t xml:space="preserve"> 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10.00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Înregistrarea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căsătoriei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100, 00</w:t>
                  </w:r>
                </w:p>
              </w:tc>
            </w:tr>
            <w:tr w:rsidR="002D511D" w:rsidRPr="002D511D" w:rsidTr="00086284">
              <w:trPr>
                <w:trHeight w:hRule="exact" w:val="31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4</w:t>
                  </w: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142310</w:t>
                  </w: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 xml:space="preserve">Taxa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>înregistrarea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>contractelor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>arendă</w:t>
                  </w:r>
                  <w:proofErr w:type="spellEnd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 xml:space="preserve"> la </w:t>
                  </w:r>
                  <w:proofErr w:type="spellStart"/>
                  <w:r w:rsidRPr="002D511D">
                    <w:rPr>
                      <w:rFonts w:eastAsia="Times New Roman" w:cs="Times New Roman"/>
                      <w:b/>
                      <w:bCs/>
                      <w:szCs w:val="28"/>
                      <w:lang w:val="en-US" w:eastAsia="ar-SA"/>
                    </w:rPr>
                    <w:t>primăria</w:t>
                  </w:r>
                  <w:proofErr w:type="spellEnd"/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</w:tc>
            </w:tr>
            <w:tr w:rsidR="002D511D" w:rsidRPr="002D511D" w:rsidTr="00086284">
              <w:trPr>
                <w:trHeight w:hRule="exact" w:val="895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Înregistrarea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către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o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persoană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contractelor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încheiate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prima</w:t>
                  </w:r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pacing w:val="-10"/>
                      <w:sz w:val="22"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dată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între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arendator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arendaş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6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un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3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fiecare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următor</w:t>
                  </w:r>
                  <w:proofErr w:type="spellEnd"/>
                </w:p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</w:tc>
            </w:tr>
            <w:tr w:rsidR="002D511D" w:rsidRPr="002D511D" w:rsidTr="00086284">
              <w:trPr>
                <w:trHeight w:hRule="exact" w:val="587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Înregistrarea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către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o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persoană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contractelor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încheiate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pe un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termen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nou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între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acelaşi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arendator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arendaş</w:t>
                  </w:r>
                  <w:proofErr w:type="spellEnd"/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</w:tc>
              <w:tc>
                <w:tcPr>
                  <w:tcW w:w="2409" w:type="dxa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4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un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2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fiecare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următor</w:t>
                  </w:r>
                  <w:proofErr w:type="spellEnd"/>
                </w:p>
              </w:tc>
            </w:tr>
            <w:tr w:rsidR="002D511D" w:rsidRPr="002D511D" w:rsidTr="00086284">
              <w:trPr>
                <w:trHeight w:hRule="exact" w:val="580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Înregistrarea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modificărilor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operate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în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contractul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arendă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sau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rezilierii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4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un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şi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2 lei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fiecare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contract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următor</w:t>
                  </w:r>
                  <w:proofErr w:type="spellEnd"/>
                </w:p>
              </w:tc>
            </w:tr>
            <w:tr w:rsidR="002D511D" w:rsidRPr="002D511D" w:rsidTr="00086284">
              <w:trPr>
                <w:trHeight w:hRule="exact" w:val="296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extraselor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din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registrul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contractelor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  <w:t>arendă</w:t>
                  </w:r>
                  <w:proofErr w:type="spellEnd"/>
                </w:p>
              </w:tc>
              <w:tc>
                <w:tcPr>
                  <w:tcW w:w="2409" w:type="dxa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0"/>
                      <w:szCs w:val="20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3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lei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un</w:t>
                  </w:r>
                  <w:proofErr w:type="spellEnd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0"/>
                      <w:szCs w:val="20"/>
                      <w:lang w:eastAsia="ar-SA"/>
                    </w:rPr>
                    <w:t>extras</w:t>
                  </w:r>
                  <w:proofErr w:type="spellEnd"/>
                </w:p>
              </w:tc>
            </w:tr>
            <w:tr w:rsidR="002D511D" w:rsidRPr="002D511D" w:rsidTr="00086284">
              <w:trPr>
                <w:trHeight w:val="529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5</w:t>
                  </w: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142310</w:t>
                  </w: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b/>
                      <w:sz w:val="22"/>
                      <w:szCs w:val="28"/>
                      <w:lang w:val="en-US" w:eastAsia="ar-SA"/>
                    </w:rPr>
                    <w:t>SERVICII DE CADASTRU ŞI REGLEMENTAREA PROPRIETĂŢII FUNCIARE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</w:p>
              </w:tc>
            </w:tr>
            <w:tr w:rsidR="002D511D" w:rsidRPr="002D511D" w:rsidTr="00086284">
              <w:trPr>
                <w:trHeight w:val="544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  <w:t>P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amplasarea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în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natură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a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parcelelor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teren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(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pentru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un lot)</w:t>
                  </w:r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70.00</w:t>
                  </w:r>
                </w:p>
              </w:tc>
            </w:tr>
            <w:tr w:rsidR="002D511D" w:rsidRPr="002D511D" w:rsidTr="00086284">
              <w:trPr>
                <w:trHeight w:val="272"/>
              </w:trPr>
              <w:tc>
                <w:tcPr>
                  <w:tcW w:w="376" w:type="dxa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1224" w:type="dxa"/>
                  <w:gridSpan w:val="2"/>
                </w:tcPr>
                <w:p w:rsidR="002D511D" w:rsidRPr="002D511D" w:rsidRDefault="002D511D" w:rsidP="002D511D">
                  <w:pPr>
                    <w:tabs>
                      <w:tab w:val="left" w:pos="7371"/>
                    </w:tabs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val="ro-RO" w:eastAsia="ar-SA"/>
                    </w:rPr>
                  </w:pPr>
                </w:p>
              </w:tc>
              <w:tc>
                <w:tcPr>
                  <w:tcW w:w="5593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</w:pP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Eliberarea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extrasului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din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registrul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cadastral al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deținatorelor</w:t>
                  </w:r>
                  <w:proofErr w:type="spellEnd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 xml:space="preserve"> de </w:t>
                  </w:r>
                  <w:proofErr w:type="spellStart"/>
                  <w:r w:rsidRPr="002D511D">
                    <w:rPr>
                      <w:rFonts w:eastAsia="Times New Roman" w:cs="Times New Roman"/>
                      <w:sz w:val="22"/>
                      <w:szCs w:val="28"/>
                      <w:lang w:val="en-US" w:eastAsia="ar-SA"/>
                    </w:rPr>
                    <w:t>teren</w:t>
                  </w:r>
                  <w:proofErr w:type="spellEnd"/>
                </w:p>
              </w:tc>
              <w:tc>
                <w:tcPr>
                  <w:tcW w:w="2409" w:type="dxa"/>
                  <w:vAlign w:val="center"/>
                </w:tcPr>
                <w:p w:rsidR="002D511D" w:rsidRPr="002D511D" w:rsidRDefault="002D511D" w:rsidP="002D511D">
                  <w:pPr>
                    <w:suppressAutoHyphens/>
                    <w:spacing w:after="0"/>
                    <w:jc w:val="center"/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</w:pPr>
                  <w:r w:rsidRPr="002D511D">
                    <w:rPr>
                      <w:rFonts w:eastAsia="Times New Roman" w:cs="Times New Roman"/>
                      <w:sz w:val="22"/>
                      <w:szCs w:val="28"/>
                      <w:lang w:eastAsia="ar-SA"/>
                    </w:rPr>
                    <w:t>20.00</w:t>
                  </w:r>
                </w:p>
              </w:tc>
            </w:tr>
          </w:tbl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color w:val="000000"/>
                <w:szCs w:val="28"/>
                <w:lang w:eastAsia="ar-SA"/>
              </w:rPr>
            </w:pPr>
          </w:p>
          <w:p w:rsidR="002D511D" w:rsidRPr="002D511D" w:rsidRDefault="002D511D" w:rsidP="002D511D">
            <w:pPr>
              <w:suppressAutoHyphens/>
              <w:spacing w:after="0"/>
              <w:jc w:val="both"/>
              <w:rPr>
                <w:rFonts w:eastAsia="Times New Roman" w:cs="Times New Roman"/>
                <w:b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bCs/>
                <w:color w:val="000000"/>
                <w:szCs w:val="28"/>
                <w:lang w:val="en-US" w:eastAsia="ar-SA"/>
              </w:rPr>
              <w:t xml:space="preserve"> </w:t>
            </w:r>
          </w:p>
          <w:p w:rsidR="002D511D" w:rsidRPr="002D511D" w:rsidRDefault="002D511D" w:rsidP="002D511D">
            <w:pPr>
              <w:suppressAutoHyphens/>
              <w:spacing w:after="20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:rsidR="002D511D" w:rsidRPr="002D511D" w:rsidRDefault="002D511D" w:rsidP="002D511D">
            <w:pPr>
              <w:suppressAutoHyphens/>
              <w:spacing w:after="200" w:line="276" w:lineRule="auto"/>
              <w:jc w:val="center"/>
              <w:rPr>
                <w:rFonts w:eastAsia="Calibri" w:cs="Times New Roman"/>
                <w:b/>
                <w:szCs w:val="28"/>
                <w:lang w:val="en-US"/>
              </w:rPr>
            </w:pPr>
          </w:p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                                                                      </w:t>
            </w:r>
          </w:p>
        </w:tc>
      </w:tr>
      <w:tr w:rsidR="002D511D" w:rsidRPr="002D511D" w:rsidTr="00086284">
        <w:trPr>
          <w:gridAfter w:val="1"/>
          <w:wAfter w:w="359" w:type="dxa"/>
          <w:trHeight w:val="315"/>
        </w:trPr>
        <w:tc>
          <w:tcPr>
            <w:tcW w:w="70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2818" w:type="dxa"/>
              <w:tblLook w:val="04A0" w:firstRow="1" w:lastRow="0" w:firstColumn="1" w:lastColumn="0" w:noHBand="0" w:noVBand="1"/>
            </w:tblPr>
            <w:tblGrid>
              <w:gridCol w:w="222"/>
              <w:gridCol w:w="1209"/>
              <w:gridCol w:w="1387"/>
            </w:tblGrid>
            <w:tr w:rsidR="002D511D" w:rsidRPr="002D511D" w:rsidTr="00086284">
              <w:trPr>
                <w:trHeight w:val="315"/>
              </w:trPr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ascii="Calibri" w:eastAsia="Times New Roman" w:hAnsi="Calibri" w:cs="Calibri"/>
                      <w:color w:val="000000"/>
                      <w:szCs w:val="28"/>
                      <w:lang w:eastAsia="ar-SA"/>
                    </w:rPr>
                  </w:pP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ascii="Calibri" w:eastAsia="Times New Roman" w:hAnsi="Calibri" w:cs="Calibri"/>
                      <w:color w:val="000000"/>
                      <w:szCs w:val="28"/>
                      <w:lang w:val="en-US" w:eastAsia="ar-S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D511D" w:rsidRPr="002D511D" w:rsidRDefault="002D511D" w:rsidP="002D511D">
                  <w:pPr>
                    <w:suppressAutoHyphens/>
                    <w:spacing w:after="0"/>
                    <w:rPr>
                      <w:rFonts w:eastAsia="Times New Roman" w:cs="Times New Roman"/>
                      <w:b/>
                      <w:bCs/>
                      <w:color w:val="000000"/>
                      <w:szCs w:val="28"/>
                      <w:lang w:eastAsia="ar-SA"/>
                    </w:rPr>
                  </w:pPr>
                </w:p>
              </w:tc>
            </w:tr>
          </w:tbl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val="en-US" w:eastAsia="ar-SA"/>
              </w:rPr>
            </w:pP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289"/>
        </w:trPr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lastRenderedPageBreak/>
              <w:t>Anexa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i/>
                <w:iCs/>
                <w:color w:val="000000"/>
                <w:szCs w:val="28"/>
                <w:lang w:eastAsia="ar-SA"/>
              </w:rPr>
              <w:t>. 5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87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la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decizia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local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60"/>
        </w:trPr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right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. 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din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  _____ 2022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ind w:firstLineChars="900" w:firstLine="253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289"/>
        </w:trPr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Efectivul-limită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al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statelor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de personal 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289"/>
        </w:trPr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din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instituţiile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bugetare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finanţate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de la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bugetul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</w:t>
            </w:r>
            <w:proofErr w:type="gram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local 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>Ivancea</w:t>
            </w:r>
            <w:proofErr w:type="spellEnd"/>
            <w:proofErr w:type="gram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val="en-US" w:eastAsia="ar-SA"/>
              </w:rPr>
              <w:t xml:space="preserve"> 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289"/>
        </w:trPr>
        <w:tc>
          <w:tcPr>
            <w:tcW w:w="89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pe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anul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2023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94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Nr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. d/o</w:t>
            </w:r>
          </w:p>
        </w:tc>
        <w:tc>
          <w:tcPr>
            <w:tcW w:w="35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Denumirea</w:t>
            </w:r>
            <w:proofErr w:type="spellEnd"/>
          </w:p>
        </w:tc>
        <w:tc>
          <w:tcPr>
            <w:tcW w:w="15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Cod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org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2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Efectivul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de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personal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 xml:space="preserve">,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unități</w:t>
            </w:r>
            <w:proofErr w:type="spellEnd"/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3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4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2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Aparatul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primarului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10917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15,50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Grădiniţa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copii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Ivancea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12224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12,25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3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Grădiniţa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copii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Branesti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08283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11,25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4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Grădiniţa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de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copii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Furceni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08284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17,12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5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Biblioteca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publica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Ivancea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08289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6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Biblioteca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publica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Branesti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08290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7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Biblioteca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publica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Furceni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08291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8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Căminul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cultural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Ivancea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08292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4,00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9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Căminul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cultural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Furceni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08293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2,75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Căminul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cultural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Brănești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15834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1,25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63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11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Servicii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salubrizare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și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înverzire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a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localitățiilor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10917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4,00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12</w:t>
            </w:r>
          </w:p>
        </w:tc>
        <w:tc>
          <w:tcPr>
            <w:tcW w:w="35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color w:val="000000"/>
                <w:szCs w:val="28"/>
                <w:lang w:val="en-US" w:eastAsia="ar-SA"/>
              </w:rPr>
            </w:pP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Servicii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de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alimentare</w:t>
            </w:r>
            <w:proofErr w:type="spellEnd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 xml:space="preserve"> cu </w:t>
            </w:r>
            <w:proofErr w:type="spellStart"/>
            <w:r w:rsidRPr="002D511D">
              <w:rPr>
                <w:rFonts w:eastAsia="Times New Roman" w:cs="Times New Roman"/>
                <w:color w:val="000000"/>
                <w:szCs w:val="28"/>
                <w:lang w:val="en-US" w:eastAsia="ar-SA"/>
              </w:rPr>
              <w:t>apă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10917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color w:val="000000"/>
                <w:szCs w:val="28"/>
                <w:lang w:eastAsia="ar-SA"/>
              </w:rPr>
              <w:t>3,00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5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Total</w:t>
            </w:r>
            <w:proofErr w:type="spellEnd"/>
          </w:p>
        </w:tc>
        <w:tc>
          <w:tcPr>
            <w:tcW w:w="15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 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  <w:r w:rsidRPr="002D511D"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  <w:t>74,12</w:t>
            </w: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31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ro-MD" w:eastAsia="ar-SA"/>
              </w:rPr>
            </w:pPr>
          </w:p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ro-MD" w:eastAsia="ar-SA"/>
              </w:rPr>
            </w:pPr>
          </w:p>
          <w:p w:rsidR="002D511D" w:rsidRPr="002D511D" w:rsidRDefault="002D511D" w:rsidP="002D511D">
            <w:pPr>
              <w:suppressAutoHyphens/>
              <w:spacing w:after="0"/>
              <w:jc w:val="center"/>
              <w:rPr>
                <w:rFonts w:eastAsia="Times New Roman" w:cs="Times New Roman"/>
                <w:color w:val="000000"/>
                <w:szCs w:val="28"/>
                <w:lang w:val="ro-MD" w:eastAsia="ar-SA"/>
              </w:rPr>
            </w:pPr>
          </w:p>
        </w:tc>
        <w:tc>
          <w:tcPr>
            <w:tcW w:w="3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</w:tr>
      <w:tr w:rsidR="002D511D" w:rsidRPr="002D511D" w:rsidTr="00086284">
        <w:trPr>
          <w:gridBefore w:val="1"/>
          <w:gridAfter w:val="2"/>
          <w:wBefore w:w="736" w:type="dxa"/>
          <w:wAfter w:w="797" w:type="dxa"/>
          <w:trHeight w:val="21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ascii="Calibri" w:eastAsia="Times New Roman" w:hAnsi="Calibri" w:cs="Calibri"/>
                <w:color w:val="000000"/>
                <w:szCs w:val="28"/>
                <w:lang w:eastAsia="ar-SA"/>
              </w:rPr>
            </w:pPr>
          </w:p>
        </w:tc>
        <w:tc>
          <w:tcPr>
            <w:tcW w:w="52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ar-SA"/>
              </w:rPr>
            </w:pP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Secretarul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Consiliului</w:t>
            </w:r>
            <w:proofErr w:type="spellEnd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D511D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ar-SA"/>
              </w:rPr>
              <w:t>local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ro-MD" w:eastAsia="ar-SA"/>
              </w:rPr>
              <w:t xml:space="preserve">    </w:t>
            </w:r>
          </w:p>
        </w:tc>
        <w:tc>
          <w:tcPr>
            <w:tcW w:w="15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color w:val="000000"/>
                <w:sz w:val="24"/>
                <w:szCs w:val="24"/>
                <w:lang w:val="ro-MD" w:eastAsia="ar-SA"/>
              </w:rPr>
            </w:pPr>
            <w:bookmarkStart w:id="0" w:name="_GoBack"/>
            <w:bookmarkEnd w:id="0"/>
            <w:r w:rsidRPr="002D511D">
              <w:rPr>
                <w:rFonts w:eastAsia="Times New Roman" w:cs="Times New Roman"/>
                <w:b/>
                <w:color w:val="000000"/>
                <w:sz w:val="24"/>
                <w:szCs w:val="24"/>
                <w:lang w:val="ro-MD" w:eastAsia="ar-SA"/>
              </w:rPr>
              <w:t>N. ROTARU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511D" w:rsidRPr="002D511D" w:rsidRDefault="002D511D" w:rsidP="002D511D">
            <w:pPr>
              <w:suppressAutoHyphens/>
              <w:spacing w:after="0"/>
              <w:rPr>
                <w:rFonts w:eastAsia="Times New Roman" w:cs="Times New Roman"/>
                <w:b/>
                <w:bCs/>
                <w:color w:val="000000"/>
                <w:szCs w:val="28"/>
                <w:lang w:eastAsia="ar-SA"/>
              </w:rPr>
            </w:pPr>
          </w:p>
        </w:tc>
      </w:tr>
    </w:tbl>
    <w:p w:rsidR="002D511D" w:rsidRPr="002D511D" w:rsidRDefault="002D511D" w:rsidP="002D511D">
      <w:pPr>
        <w:suppressAutoHyphens/>
        <w:spacing w:after="200" w:line="276" w:lineRule="auto"/>
        <w:jc w:val="center"/>
        <w:rPr>
          <w:rFonts w:eastAsia="Calibri" w:cs="Times New Roman"/>
          <w:b/>
          <w:szCs w:val="28"/>
          <w:lang w:val="en-US"/>
        </w:rPr>
      </w:pP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A1002"/>
    <w:multiLevelType w:val="multilevel"/>
    <w:tmpl w:val="500C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11D"/>
    <w:rsid w:val="002D511D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EFE3"/>
  <w15:chartTrackingRefBased/>
  <w15:docId w15:val="{DAA12B65-8C8B-4B98-A042-48CC2DFF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1681</Words>
  <Characters>9583</Characters>
  <Application>Microsoft Office Word</Application>
  <DocSecurity>0</DocSecurity>
  <Lines>79</Lines>
  <Paragraphs>22</Paragraphs>
  <ScaleCrop>false</ScaleCrop>
  <Company/>
  <LinksUpToDate>false</LinksUpToDate>
  <CharactersWithSpaces>11242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2022-11-10T13:53:00Z</dcterms:created>
  <dcterms:modified xsi:type="dcterms:W3CDTF">2022-11-10T13:54:00Z</dcterms:modified>
</cp:coreProperties>
</file>